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DBB7" w14:textId="70879085" w:rsidR="00F51339" w:rsidRPr="00AB1B34" w:rsidRDefault="00F51339" w:rsidP="00AB1B34">
      <w:pPr>
        <w:spacing w:line="276" w:lineRule="auto"/>
        <w:jc w:val="right"/>
        <w:rPr>
          <w:rFonts w:asciiTheme="majorHAnsi" w:hAnsiTheme="majorHAnsi" w:cstheme="majorHAnsi"/>
          <w:b/>
          <w:bCs/>
          <w:sz w:val="22"/>
          <w:szCs w:val="22"/>
        </w:rPr>
      </w:pPr>
      <w:r w:rsidRPr="00AB1B34">
        <w:rPr>
          <w:rFonts w:asciiTheme="majorHAnsi" w:hAnsiTheme="majorHAnsi" w:cstheme="majorHAnsi"/>
          <w:b/>
          <w:bCs/>
          <w:sz w:val="22"/>
          <w:szCs w:val="22"/>
        </w:rPr>
        <w:t>A</w:t>
      </w:r>
      <w:r w:rsidR="00AB1B34">
        <w:rPr>
          <w:rFonts w:asciiTheme="majorHAnsi" w:hAnsiTheme="majorHAnsi" w:cstheme="majorHAnsi"/>
          <w:b/>
          <w:bCs/>
          <w:sz w:val="22"/>
          <w:szCs w:val="22"/>
        </w:rPr>
        <w:t>l</w:t>
      </w:r>
      <w:r w:rsidRPr="00AB1B34">
        <w:rPr>
          <w:rFonts w:asciiTheme="majorHAnsi" w:hAnsiTheme="majorHAnsi" w:cstheme="majorHAnsi"/>
          <w:b/>
          <w:bCs/>
          <w:sz w:val="22"/>
          <w:szCs w:val="22"/>
        </w:rPr>
        <w:t xml:space="preserve"> Sindac</w:t>
      </w:r>
      <w:r w:rsidR="00F87903" w:rsidRPr="00AB1B34">
        <w:rPr>
          <w:rFonts w:asciiTheme="majorHAnsi" w:hAnsiTheme="majorHAnsi" w:cstheme="majorHAnsi"/>
          <w:b/>
          <w:bCs/>
          <w:sz w:val="22"/>
          <w:szCs w:val="22"/>
        </w:rPr>
        <w:t>o</w:t>
      </w:r>
      <w:r w:rsidRPr="00AB1B34">
        <w:rPr>
          <w:rFonts w:asciiTheme="majorHAnsi" w:hAnsiTheme="majorHAnsi" w:cstheme="majorHAnsi"/>
          <w:b/>
          <w:bCs/>
          <w:sz w:val="22"/>
          <w:szCs w:val="22"/>
        </w:rPr>
        <w:t xml:space="preserve"> </w:t>
      </w:r>
      <w:r w:rsidR="00F87903" w:rsidRPr="00AB1B34">
        <w:rPr>
          <w:rFonts w:asciiTheme="majorHAnsi" w:hAnsiTheme="majorHAnsi" w:cstheme="majorHAnsi"/>
          <w:b/>
          <w:bCs/>
          <w:sz w:val="22"/>
          <w:szCs w:val="22"/>
        </w:rPr>
        <w:t xml:space="preserve">del Comune di </w:t>
      </w:r>
      <w:r w:rsidR="00640BEF">
        <w:rPr>
          <w:rFonts w:asciiTheme="majorHAnsi" w:hAnsiTheme="majorHAnsi" w:cstheme="majorHAnsi"/>
          <w:b/>
          <w:bCs/>
          <w:sz w:val="22"/>
          <w:szCs w:val="22"/>
        </w:rPr>
        <w:t>___________</w:t>
      </w:r>
    </w:p>
    <w:p w14:paraId="16BEEE6C" w14:textId="268166B6" w:rsidR="00F51339" w:rsidRDefault="00F87903" w:rsidP="00640BEF">
      <w:pPr>
        <w:spacing w:line="276" w:lineRule="auto"/>
        <w:jc w:val="right"/>
        <w:rPr>
          <w:rFonts w:asciiTheme="majorHAnsi" w:hAnsiTheme="majorHAnsi" w:cstheme="majorHAnsi"/>
          <w:b/>
          <w:bCs/>
          <w:sz w:val="22"/>
          <w:szCs w:val="22"/>
        </w:rPr>
      </w:pPr>
      <w:r w:rsidRPr="00AB1B34">
        <w:rPr>
          <w:rFonts w:asciiTheme="majorHAnsi" w:hAnsiTheme="majorHAnsi" w:cstheme="majorHAnsi"/>
          <w:b/>
          <w:bCs/>
          <w:sz w:val="22"/>
          <w:szCs w:val="22"/>
        </w:rPr>
        <w:t>All’Assessore</w:t>
      </w:r>
      <w:r w:rsidR="00F51339" w:rsidRPr="00AB1B34">
        <w:rPr>
          <w:rFonts w:asciiTheme="majorHAnsi" w:hAnsiTheme="majorHAnsi" w:cstheme="majorHAnsi"/>
          <w:b/>
          <w:bCs/>
          <w:sz w:val="22"/>
          <w:szCs w:val="22"/>
        </w:rPr>
        <w:t xml:space="preserve"> alle Politiche Sociali </w:t>
      </w:r>
      <w:r w:rsidRPr="00AB1B34">
        <w:rPr>
          <w:rFonts w:asciiTheme="majorHAnsi" w:hAnsiTheme="majorHAnsi" w:cstheme="majorHAnsi"/>
          <w:b/>
          <w:bCs/>
          <w:sz w:val="22"/>
          <w:szCs w:val="22"/>
        </w:rPr>
        <w:t xml:space="preserve">del Comune di </w:t>
      </w:r>
      <w:r w:rsidR="00640BEF">
        <w:rPr>
          <w:rFonts w:asciiTheme="majorHAnsi" w:hAnsiTheme="majorHAnsi" w:cstheme="majorHAnsi"/>
          <w:b/>
          <w:bCs/>
          <w:sz w:val="22"/>
          <w:szCs w:val="22"/>
        </w:rPr>
        <w:t>_____________</w:t>
      </w:r>
    </w:p>
    <w:p w14:paraId="7DE158BB" w14:textId="77777777" w:rsidR="00257F8C" w:rsidRDefault="00257F8C" w:rsidP="00AB1B34">
      <w:pPr>
        <w:spacing w:line="276" w:lineRule="auto"/>
        <w:jc w:val="right"/>
        <w:rPr>
          <w:rFonts w:asciiTheme="majorHAnsi" w:hAnsiTheme="majorHAnsi" w:cstheme="majorHAnsi"/>
          <w:sz w:val="22"/>
          <w:szCs w:val="22"/>
        </w:rPr>
      </w:pPr>
    </w:p>
    <w:p w14:paraId="2A632D77" w14:textId="20587DDD" w:rsidR="00AB1B34" w:rsidRPr="00CC527B" w:rsidRDefault="00AB1B34" w:rsidP="00AB1B34">
      <w:pPr>
        <w:spacing w:line="276" w:lineRule="auto"/>
        <w:jc w:val="right"/>
        <w:rPr>
          <w:rFonts w:asciiTheme="majorHAnsi" w:hAnsiTheme="majorHAnsi" w:cstheme="majorHAnsi"/>
          <w:sz w:val="22"/>
          <w:szCs w:val="22"/>
        </w:rPr>
      </w:pPr>
      <w:r w:rsidRPr="00CC527B">
        <w:rPr>
          <w:rFonts w:asciiTheme="majorHAnsi" w:hAnsiTheme="majorHAnsi" w:cstheme="majorHAnsi"/>
          <w:sz w:val="22"/>
          <w:szCs w:val="22"/>
        </w:rPr>
        <w:t>E p.c.</w:t>
      </w:r>
    </w:p>
    <w:p w14:paraId="35CD714A" w14:textId="321F04B0" w:rsidR="00F51339" w:rsidRPr="00AB1B34" w:rsidRDefault="00F51339" w:rsidP="00AB1B34">
      <w:pPr>
        <w:spacing w:line="276" w:lineRule="auto"/>
        <w:jc w:val="right"/>
        <w:rPr>
          <w:rFonts w:asciiTheme="majorHAnsi" w:hAnsiTheme="majorHAnsi" w:cstheme="majorHAnsi"/>
          <w:b/>
          <w:bCs/>
          <w:sz w:val="22"/>
          <w:szCs w:val="22"/>
        </w:rPr>
      </w:pPr>
      <w:r w:rsidRPr="00AB1B34">
        <w:rPr>
          <w:rFonts w:asciiTheme="majorHAnsi" w:hAnsiTheme="majorHAnsi" w:cstheme="majorHAnsi"/>
          <w:b/>
          <w:bCs/>
          <w:sz w:val="22"/>
          <w:szCs w:val="22"/>
        </w:rPr>
        <w:t xml:space="preserve">Ai responsabili della verifica su Piattaforma GEPI dei requisiti RDC </w:t>
      </w:r>
    </w:p>
    <w:p w14:paraId="257FE55F" w14:textId="739B90CC" w:rsidR="00F51339" w:rsidRDefault="00F51339" w:rsidP="00AB1B34">
      <w:pPr>
        <w:spacing w:line="276" w:lineRule="auto"/>
        <w:jc w:val="right"/>
        <w:rPr>
          <w:rFonts w:asciiTheme="majorHAnsi" w:hAnsiTheme="majorHAnsi" w:cstheme="majorHAnsi"/>
          <w:b/>
          <w:bCs/>
          <w:sz w:val="22"/>
          <w:szCs w:val="22"/>
        </w:rPr>
      </w:pPr>
      <w:r w:rsidRPr="00AB1B34">
        <w:rPr>
          <w:rFonts w:asciiTheme="majorHAnsi" w:hAnsiTheme="majorHAnsi" w:cstheme="majorHAnsi"/>
          <w:b/>
          <w:bCs/>
          <w:sz w:val="22"/>
          <w:szCs w:val="22"/>
        </w:rPr>
        <w:t>A</w:t>
      </w:r>
      <w:r w:rsidR="00F87903" w:rsidRPr="00AB1B34">
        <w:rPr>
          <w:rFonts w:asciiTheme="majorHAnsi" w:hAnsiTheme="majorHAnsi" w:cstheme="majorHAnsi"/>
          <w:b/>
          <w:bCs/>
          <w:sz w:val="22"/>
          <w:szCs w:val="22"/>
        </w:rPr>
        <w:t xml:space="preserve">l </w:t>
      </w:r>
      <w:r w:rsidRPr="00AB1B34">
        <w:rPr>
          <w:rFonts w:asciiTheme="majorHAnsi" w:hAnsiTheme="majorHAnsi" w:cstheme="majorHAnsi"/>
          <w:b/>
          <w:bCs/>
          <w:sz w:val="22"/>
          <w:szCs w:val="22"/>
        </w:rPr>
        <w:t>Dirigent</w:t>
      </w:r>
      <w:r w:rsidR="00F87903" w:rsidRPr="00AB1B34">
        <w:rPr>
          <w:rFonts w:asciiTheme="majorHAnsi" w:hAnsiTheme="majorHAnsi" w:cstheme="majorHAnsi"/>
          <w:b/>
          <w:bCs/>
          <w:sz w:val="22"/>
          <w:szCs w:val="22"/>
        </w:rPr>
        <w:t>e</w:t>
      </w:r>
      <w:r w:rsidRPr="00AB1B34">
        <w:rPr>
          <w:rFonts w:asciiTheme="majorHAnsi" w:hAnsiTheme="majorHAnsi" w:cstheme="majorHAnsi"/>
          <w:b/>
          <w:bCs/>
          <w:sz w:val="22"/>
          <w:szCs w:val="22"/>
        </w:rPr>
        <w:t xml:space="preserve"> </w:t>
      </w:r>
      <w:proofErr w:type="gramStart"/>
      <w:r w:rsidRPr="00AB1B34">
        <w:rPr>
          <w:rFonts w:asciiTheme="majorHAnsi" w:hAnsiTheme="majorHAnsi" w:cstheme="majorHAnsi"/>
          <w:b/>
          <w:bCs/>
          <w:sz w:val="22"/>
          <w:szCs w:val="22"/>
        </w:rPr>
        <w:t>de</w:t>
      </w:r>
      <w:r w:rsidR="00F87903" w:rsidRPr="00AB1B34">
        <w:rPr>
          <w:rFonts w:asciiTheme="majorHAnsi" w:hAnsiTheme="majorHAnsi" w:cstheme="majorHAnsi"/>
          <w:b/>
          <w:bCs/>
          <w:sz w:val="22"/>
          <w:szCs w:val="22"/>
        </w:rPr>
        <w:t>ll’</w:t>
      </w:r>
      <w:r w:rsidRPr="00AB1B34">
        <w:rPr>
          <w:rFonts w:asciiTheme="majorHAnsi" w:hAnsiTheme="majorHAnsi" w:cstheme="majorHAnsi"/>
          <w:b/>
          <w:bCs/>
          <w:sz w:val="22"/>
          <w:szCs w:val="22"/>
        </w:rPr>
        <w:t xml:space="preserve"> Uffici</w:t>
      </w:r>
      <w:r w:rsidR="00F87903" w:rsidRPr="00AB1B34">
        <w:rPr>
          <w:rFonts w:asciiTheme="majorHAnsi" w:hAnsiTheme="majorHAnsi" w:cstheme="majorHAnsi"/>
          <w:b/>
          <w:bCs/>
          <w:sz w:val="22"/>
          <w:szCs w:val="22"/>
        </w:rPr>
        <w:t>o</w:t>
      </w:r>
      <w:proofErr w:type="gramEnd"/>
      <w:r w:rsidRPr="00AB1B34">
        <w:rPr>
          <w:rFonts w:asciiTheme="majorHAnsi" w:hAnsiTheme="majorHAnsi" w:cstheme="majorHAnsi"/>
          <w:b/>
          <w:bCs/>
          <w:sz w:val="22"/>
          <w:szCs w:val="22"/>
        </w:rPr>
        <w:t xml:space="preserve"> Politiche Sociali </w:t>
      </w:r>
      <w:r w:rsidR="00F87903" w:rsidRPr="00AB1B34">
        <w:rPr>
          <w:rFonts w:asciiTheme="majorHAnsi" w:hAnsiTheme="majorHAnsi" w:cstheme="majorHAnsi"/>
          <w:b/>
          <w:bCs/>
          <w:sz w:val="22"/>
          <w:szCs w:val="22"/>
        </w:rPr>
        <w:t xml:space="preserve">del Comune di </w:t>
      </w:r>
      <w:r w:rsidR="00640BEF">
        <w:rPr>
          <w:rFonts w:asciiTheme="majorHAnsi" w:hAnsiTheme="majorHAnsi" w:cstheme="majorHAnsi"/>
          <w:b/>
          <w:bCs/>
          <w:sz w:val="22"/>
          <w:szCs w:val="22"/>
        </w:rPr>
        <w:t>________________</w:t>
      </w:r>
    </w:p>
    <w:p w14:paraId="1E10F949" w14:textId="17A4D6D7" w:rsidR="00AB1B34" w:rsidRDefault="00AB1B34" w:rsidP="00AB1B34">
      <w:pPr>
        <w:spacing w:line="276" w:lineRule="auto"/>
        <w:jc w:val="right"/>
        <w:rPr>
          <w:rFonts w:asciiTheme="majorHAnsi" w:hAnsiTheme="majorHAnsi" w:cstheme="majorHAnsi"/>
          <w:b/>
          <w:bCs/>
          <w:sz w:val="22"/>
          <w:szCs w:val="22"/>
        </w:rPr>
      </w:pPr>
      <w:r>
        <w:rPr>
          <w:rFonts w:asciiTheme="majorHAnsi" w:hAnsiTheme="majorHAnsi" w:cstheme="majorHAnsi"/>
          <w:b/>
          <w:bCs/>
          <w:sz w:val="22"/>
          <w:szCs w:val="22"/>
        </w:rPr>
        <w:t xml:space="preserve">All’Assistente Sociale del Comune di </w:t>
      </w:r>
      <w:r w:rsidR="00640BEF">
        <w:rPr>
          <w:rFonts w:asciiTheme="majorHAnsi" w:hAnsiTheme="majorHAnsi" w:cstheme="majorHAnsi"/>
          <w:b/>
          <w:bCs/>
          <w:sz w:val="22"/>
          <w:szCs w:val="22"/>
        </w:rPr>
        <w:t>________________</w:t>
      </w:r>
    </w:p>
    <w:p w14:paraId="368F3DE9" w14:textId="77777777" w:rsidR="00F51339" w:rsidRPr="00AB1B34" w:rsidRDefault="00F51339" w:rsidP="00AB1B34">
      <w:pPr>
        <w:spacing w:line="276" w:lineRule="auto"/>
        <w:jc w:val="both"/>
        <w:rPr>
          <w:rFonts w:asciiTheme="majorHAnsi" w:hAnsiTheme="majorHAnsi" w:cstheme="majorHAnsi"/>
          <w:sz w:val="22"/>
          <w:szCs w:val="22"/>
        </w:rPr>
      </w:pPr>
    </w:p>
    <w:p w14:paraId="3046E9AA" w14:textId="54E32F63" w:rsidR="00F51339" w:rsidRPr="00AB1B34" w:rsidRDefault="00F51339" w:rsidP="00AB1B34">
      <w:pPr>
        <w:spacing w:line="276" w:lineRule="auto"/>
        <w:jc w:val="both"/>
        <w:rPr>
          <w:rFonts w:asciiTheme="majorHAnsi" w:hAnsiTheme="majorHAnsi" w:cstheme="majorHAnsi"/>
          <w:sz w:val="22"/>
          <w:szCs w:val="22"/>
        </w:rPr>
      </w:pPr>
      <w:r w:rsidRPr="00AB1B34">
        <w:rPr>
          <w:rFonts w:asciiTheme="majorHAnsi" w:hAnsiTheme="majorHAnsi" w:cstheme="majorHAnsi"/>
          <w:b/>
          <w:bCs/>
          <w:sz w:val="22"/>
          <w:szCs w:val="22"/>
        </w:rPr>
        <w:t>OGGETTO:</w:t>
      </w:r>
      <w:r w:rsidRPr="00AB1B34">
        <w:rPr>
          <w:rFonts w:asciiTheme="majorHAnsi" w:hAnsiTheme="majorHAnsi" w:cstheme="majorHAnsi"/>
          <w:sz w:val="22"/>
          <w:szCs w:val="22"/>
        </w:rPr>
        <w:t xml:space="preserve"> Richiesta di incontro sul requisito di residenza effettiva per i percettori di RDC</w:t>
      </w:r>
      <w:r w:rsidR="00640BEF">
        <w:rPr>
          <w:rFonts w:asciiTheme="majorHAnsi" w:hAnsiTheme="majorHAnsi" w:cstheme="majorHAnsi"/>
          <w:sz w:val="22"/>
          <w:szCs w:val="22"/>
        </w:rPr>
        <w:t xml:space="preserve"> e sull’utilizzo della piattaforma GEPI in modo discriminatorio da parte del comune di_________________</w:t>
      </w:r>
    </w:p>
    <w:p w14:paraId="120B4771" w14:textId="77777777" w:rsidR="00640BEF" w:rsidRDefault="00640BEF" w:rsidP="00AB1B34">
      <w:pPr>
        <w:spacing w:line="276" w:lineRule="auto"/>
        <w:jc w:val="both"/>
        <w:rPr>
          <w:rFonts w:asciiTheme="majorHAnsi" w:hAnsiTheme="majorHAnsi" w:cstheme="majorHAnsi"/>
          <w:sz w:val="22"/>
          <w:szCs w:val="22"/>
        </w:rPr>
      </w:pPr>
    </w:p>
    <w:p w14:paraId="2B7EE651" w14:textId="29D2AB88" w:rsidR="00F51339" w:rsidRPr="00AB1B34" w:rsidRDefault="00F51339" w:rsidP="00AB1B34">
      <w:p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Gentilissimi,</w:t>
      </w:r>
    </w:p>
    <w:p w14:paraId="3E5676CF" w14:textId="77777777" w:rsidR="00F51339" w:rsidRPr="00AB1B34" w:rsidRDefault="00F51339" w:rsidP="00AB1B34">
      <w:p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 xml:space="preserve">in questi giorni ci stanno arrivando tantissime segnalazioni da famiglie di origine migrante che si sono viste prima annullare la domanda RDC per </w:t>
      </w:r>
      <w:proofErr w:type="gramStart"/>
      <w:r w:rsidRPr="00AB1B34">
        <w:rPr>
          <w:rFonts w:asciiTheme="majorHAnsi" w:hAnsiTheme="majorHAnsi" w:cstheme="majorHAnsi"/>
          <w:sz w:val="22"/>
          <w:szCs w:val="22"/>
        </w:rPr>
        <w:t>la mancanze</w:t>
      </w:r>
      <w:proofErr w:type="gramEnd"/>
      <w:r w:rsidRPr="00AB1B34">
        <w:rPr>
          <w:rFonts w:asciiTheme="majorHAnsi" w:hAnsiTheme="majorHAnsi" w:cstheme="majorHAnsi"/>
          <w:sz w:val="22"/>
          <w:szCs w:val="22"/>
        </w:rPr>
        <w:t xml:space="preserve"> del requisito di residenza almeno decennale sul territorio italiano e poi recapitare dall’INPS cartelle esattoriali per la restituzione dell’importo RDC.</w:t>
      </w:r>
    </w:p>
    <w:p w14:paraId="1618C4AF" w14:textId="41B32BD0" w:rsidR="00F51339" w:rsidRDefault="00F51339" w:rsidP="00AB1B34">
      <w:pPr>
        <w:spacing w:line="276" w:lineRule="auto"/>
        <w:jc w:val="both"/>
        <w:rPr>
          <w:rFonts w:asciiTheme="majorHAnsi" w:hAnsiTheme="majorHAnsi" w:cstheme="majorHAnsi"/>
          <w:sz w:val="22"/>
          <w:szCs w:val="22"/>
        </w:rPr>
      </w:pPr>
      <w:proofErr w:type="gramStart"/>
      <w:r w:rsidRPr="00AB1B34">
        <w:rPr>
          <w:rFonts w:asciiTheme="majorHAnsi" w:hAnsiTheme="majorHAnsi" w:cstheme="majorHAnsi"/>
          <w:sz w:val="22"/>
          <w:szCs w:val="22"/>
        </w:rPr>
        <w:t>Purtroppo</w:t>
      </w:r>
      <w:proofErr w:type="gramEnd"/>
      <w:r w:rsidRPr="00AB1B34">
        <w:rPr>
          <w:rFonts w:asciiTheme="majorHAnsi" w:hAnsiTheme="majorHAnsi" w:cstheme="majorHAnsi"/>
          <w:sz w:val="22"/>
          <w:szCs w:val="22"/>
        </w:rPr>
        <w:t xml:space="preserve"> dagli incontri ottenuti abbiamo riscontrato </w:t>
      </w:r>
      <w:r w:rsidR="00640BEF" w:rsidRPr="00AB1B34">
        <w:rPr>
          <w:rFonts w:asciiTheme="majorHAnsi" w:hAnsiTheme="majorHAnsi" w:cstheme="majorHAnsi"/>
          <w:sz w:val="22"/>
          <w:szCs w:val="22"/>
        </w:rPr>
        <w:t>moltissimi</w:t>
      </w:r>
      <w:r w:rsidRPr="00AB1B34">
        <w:rPr>
          <w:rFonts w:asciiTheme="majorHAnsi" w:hAnsiTheme="majorHAnsi" w:cstheme="majorHAnsi"/>
          <w:sz w:val="22"/>
          <w:szCs w:val="22"/>
        </w:rPr>
        <w:t xml:space="preserve"> casi in cui riteniamo fosse </w:t>
      </w:r>
      <w:r w:rsidR="00640BEF" w:rsidRPr="00AB1B34">
        <w:rPr>
          <w:rFonts w:asciiTheme="majorHAnsi" w:hAnsiTheme="majorHAnsi" w:cstheme="majorHAnsi"/>
          <w:sz w:val="22"/>
          <w:szCs w:val="22"/>
        </w:rPr>
        <w:t>illegittima</w:t>
      </w:r>
      <w:r w:rsidRPr="00AB1B34">
        <w:rPr>
          <w:rFonts w:asciiTheme="majorHAnsi" w:hAnsiTheme="majorHAnsi" w:cstheme="majorHAnsi"/>
          <w:sz w:val="22"/>
          <w:szCs w:val="22"/>
        </w:rPr>
        <w:t xml:space="preserve"> sia la sospensione del requisito RDC operata dai funzionari del comune di riferimento e quindi anche la richiesta di restituzione operata dall’INPS sulla base dei controlli dei comuni responsabili.</w:t>
      </w:r>
    </w:p>
    <w:p w14:paraId="11A4A1A2" w14:textId="77777777" w:rsidR="00640BEF" w:rsidRPr="00AB1B34" w:rsidRDefault="00640BEF" w:rsidP="00AB1B34">
      <w:pPr>
        <w:spacing w:line="276" w:lineRule="auto"/>
        <w:jc w:val="both"/>
        <w:rPr>
          <w:rFonts w:asciiTheme="majorHAnsi" w:hAnsiTheme="majorHAnsi" w:cstheme="majorHAnsi"/>
          <w:sz w:val="22"/>
          <w:szCs w:val="22"/>
        </w:rPr>
      </w:pPr>
    </w:p>
    <w:p w14:paraId="4F3E2D1D" w14:textId="73D979DF" w:rsidR="00F51339" w:rsidRDefault="00F51339" w:rsidP="00AB1B34">
      <w:p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 xml:space="preserve">Occorre ricostruire una </w:t>
      </w:r>
      <w:proofErr w:type="spellStart"/>
      <w:r w:rsidRPr="00AB1B34">
        <w:rPr>
          <w:rFonts w:asciiTheme="majorHAnsi" w:hAnsiTheme="majorHAnsi" w:cstheme="majorHAnsi"/>
          <w:sz w:val="22"/>
          <w:szCs w:val="22"/>
        </w:rPr>
        <w:t>genalogia</w:t>
      </w:r>
      <w:proofErr w:type="spellEnd"/>
      <w:r w:rsidRPr="00AB1B34">
        <w:rPr>
          <w:rFonts w:asciiTheme="majorHAnsi" w:hAnsiTheme="majorHAnsi" w:cstheme="majorHAnsi"/>
          <w:sz w:val="22"/>
          <w:szCs w:val="22"/>
        </w:rPr>
        <w:t xml:space="preserve"> di questo ennesimo paradosso italiano alla luce di varie sentenze e note ministeriali emanate successivamente all’entrata in vigore della misura RDC, anche in seguito alle denunce di associazioni come la nostra.</w:t>
      </w:r>
    </w:p>
    <w:p w14:paraId="79255ECA" w14:textId="77777777" w:rsidR="00640BEF" w:rsidRPr="00AB1B34" w:rsidRDefault="00640BEF" w:rsidP="00AB1B34">
      <w:pPr>
        <w:spacing w:line="276" w:lineRule="auto"/>
        <w:jc w:val="both"/>
        <w:rPr>
          <w:rFonts w:asciiTheme="majorHAnsi" w:hAnsiTheme="majorHAnsi" w:cstheme="majorHAnsi"/>
          <w:sz w:val="22"/>
          <w:szCs w:val="22"/>
        </w:rPr>
      </w:pPr>
    </w:p>
    <w:p w14:paraId="1F558C93" w14:textId="77777777" w:rsidR="00F51339" w:rsidRPr="00AB1B34" w:rsidRDefault="00F51339" w:rsidP="00AB1B34">
      <w:pPr>
        <w:spacing w:line="276" w:lineRule="auto"/>
        <w:jc w:val="both"/>
        <w:rPr>
          <w:rFonts w:asciiTheme="majorHAnsi" w:hAnsiTheme="majorHAnsi" w:cstheme="majorHAnsi"/>
          <w:b/>
          <w:bCs/>
          <w:sz w:val="22"/>
          <w:szCs w:val="22"/>
        </w:rPr>
      </w:pPr>
      <w:r w:rsidRPr="00AB1B34">
        <w:rPr>
          <w:rFonts w:asciiTheme="majorHAnsi" w:hAnsiTheme="majorHAnsi" w:cstheme="majorHAnsi"/>
          <w:b/>
          <w:bCs/>
          <w:sz w:val="22"/>
          <w:szCs w:val="22"/>
        </w:rPr>
        <w:t xml:space="preserve">PREMESSO INFATTI che </w:t>
      </w:r>
    </w:p>
    <w:p w14:paraId="58EB7980" w14:textId="01C4E379" w:rsidR="00F51339" w:rsidRPr="00AB1B34" w:rsidRDefault="00F51339" w:rsidP="00AB1B34">
      <w:pPr>
        <w:pStyle w:val="Paragrafoelenco"/>
        <w:numPr>
          <w:ilvl w:val="0"/>
          <w:numId w:val="9"/>
        </w:num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 xml:space="preserve">In data 14 aprile u.s. il Ministero del Lavoro e delle Politiche sociali ha pubblicato un importante chiarimento in merito al requisito della residenza protratta per 10 anni per poter presentare la domanda di reddito di cittadinanza. La circolare di chiarimenti è stata emanata in seguito a una richiesta giunta dalla Direzione Generale per la lotta alla povertà e per la programmazione sociale che chiedeva al Ministero un parere circa la possibilità di considerare </w:t>
      </w:r>
      <w:r w:rsidRPr="00AB1B34">
        <w:rPr>
          <w:rFonts w:asciiTheme="majorHAnsi" w:hAnsiTheme="majorHAnsi" w:cstheme="majorHAnsi"/>
          <w:b/>
          <w:bCs/>
          <w:sz w:val="22"/>
          <w:szCs w:val="22"/>
        </w:rPr>
        <w:t>la residenza effettiva, in luogo di quella anagrafica</w:t>
      </w:r>
      <w:r w:rsidRPr="00AB1B34">
        <w:rPr>
          <w:rFonts w:asciiTheme="majorHAnsi" w:hAnsiTheme="majorHAnsi" w:cstheme="majorHAnsi"/>
          <w:sz w:val="22"/>
          <w:szCs w:val="22"/>
        </w:rPr>
        <w:t>, quale elemento per la verifica dei requisiti per accedere al beneficio.</w:t>
      </w:r>
      <w:r w:rsidR="005F4500" w:rsidRPr="00AB1B34">
        <w:rPr>
          <w:rFonts w:asciiTheme="majorHAnsi" w:hAnsiTheme="majorHAnsi" w:cstheme="majorHAnsi"/>
          <w:sz w:val="22"/>
          <w:szCs w:val="22"/>
        </w:rPr>
        <w:t xml:space="preserve"> I</w:t>
      </w:r>
      <w:r w:rsidRPr="00AB1B34">
        <w:rPr>
          <w:rFonts w:asciiTheme="majorHAnsi" w:hAnsiTheme="majorHAnsi" w:cstheme="majorHAnsi"/>
          <w:sz w:val="22"/>
          <w:szCs w:val="22"/>
        </w:rPr>
        <w:t xml:space="preserve">l Ministero si è trovato sostanzialmente concorde con l’ipotesi prospettata dalla Direzione e, dopo un breve richiamo alla consolidata Giurisprudenza della Corte di Cassazione in merito alla possibilità di verifica della residenza effettiva attraverso numerosi mezzi di prova, ha concluso che la ratio perseguita dalla l. 4/2019 non può che intendersi riferita all’effettiva presenza del richiedente sul territorio italiano, al fine di beneficiare di una misura di contrasto alla povertà, quale d’altronde è il reddito di cittadinanza. In tale circolare il Ministero specifica che </w:t>
      </w:r>
      <w:r w:rsidRPr="00AB1B34">
        <w:rPr>
          <w:rFonts w:asciiTheme="majorHAnsi" w:hAnsiTheme="majorHAnsi" w:cstheme="majorHAnsi"/>
          <w:i/>
          <w:iCs/>
          <w:sz w:val="22"/>
          <w:szCs w:val="22"/>
        </w:rPr>
        <w:t>“</w:t>
      </w:r>
      <w:r w:rsidRPr="00AB1B34">
        <w:rPr>
          <w:rFonts w:asciiTheme="majorHAnsi" w:hAnsiTheme="majorHAnsi" w:cstheme="majorHAnsi"/>
          <w:b/>
          <w:bCs/>
          <w:i/>
          <w:iCs/>
          <w:sz w:val="22"/>
          <w:szCs w:val="22"/>
        </w:rPr>
        <w:t xml:space="preserve">si accede alla proposta </w:t>
      </w:r>
      <w:proofErr w:type="spellStart"/>
      <w:r w:rsidRPr="00AB1B34">
        <w:rPr>
          <w:rFonts w:asciiTheme="majorHAnsi" w:hAnsiTheme="majorHAnsi" w:cstheme="majorHAnsi"/>
          <w:b/>
          <w:bCs/>
          <w:i/>
          <w:iCs/>
          <w:sz w:val="22"/>
          <w:szCs w:val="22"/>
        </w:rPr>
        <w:t>dormulata</w:t>
      </w:r>
      <w:proofErr w:type="spellEnd"/>
      <w:r w:rsidRPr="00AB1B34">
        <w:rPr>
          <w:rFonts w:asciiTheme="majorHAnsi" w:hAnsiTheme="majorHAnsi" w:cstheme="majorHAnsi"/>
          <w:b/>
          <w:bCs/>
          <w:i/>
          <w:iCs/>
          <w:sz w:val="22"/>
          <w:szCs w:val="22"/>
        </w:rPr>
        <w:t xml:space="preserve"> dalla Direzione per cui i servizi anagrafici deputati alla verifica del requisito di residenza potranno chiedere ai beneficiari di </w:t>
      </w:r>
      <w:proofErr w:type="spellStart"/>
      <w:r w:rsidRPr="00AB1B34">
        <w:rPr>
          <w:rFonts w:asciiTheme="majorHAnsi" w:hAnsiTheme="majorHAnsi" w:cstheme="majorHAnsi"/>
          <w:b/>
          <w:bCs/>
          <w:i/>
          <w:iCs/>
          <w:sz w:val="22"/>
          <w:szCs w:val="22"/>
        </w:rPr>
        <w:t>RdC</w:t>
      </w:r>
      <w:proofErr w:type="spellEnd"/>
      <w:r w:rsidRPr="00AB1B34">
        <w:rPr>
          <w:rFonts w:asciiTheme="majorHAnsi" w:hAnsiTheme="majorHAnsi" w:cstheme="majorHAnsi"/>
          <w:b/>
          <w:bCs/>
          <w:i/>
          <w:iCs/>
          <w:sz w:val="22"/>
          <w:szCs w:val="22"/>
        </w:rPr>
        <w:t xml:space="preserve"> di dimostrare la sussistenza della residenza effettiva decennale </w:t>
      </w:r>
      <w:proofErr w:type="gramStart"/>
      <w:r w:rsidRPr="00AB1B34">
        <w:rPr>
          <w:rFonts w:asciiTheme="majorHAnsi" w:hAnsiTheme="majorHAnsi" w:cstheme="majorHAnsi"/>
          <w:b/>
          <w:bCs/>
          <w:i/>
          <w:iCs/>
          <w:sz w:val="22"/>
          <w:szCs w:val="22"/>
        </w:rPr>
        <w:t>( e</w:t>
      </w:r>
      <w:proofErr w:type="gramEnd"/>
      <w:r w:rsidRPr="00AB1B34">
        <w:rPr>
          <w:rFonts w:asciiTheme="majorHAnsi" w:hAnsiTheme="majorHAnsi" w:cstheme="majorHAnsi"/>
          <w:b/>
          <w:bCs/>
          <w:i/>
          <w:iCs/>
          <w:sz w:val="22"/>
          <w:szCs w:val="22"/>
        </w:rPr>
        <w:t xml:space="preserve"> di quella biennale </w:t>
      </w:r>
      <w:proofErr w:type="spellStart"/>
      <w:r w:rsidRPr="00AB1B34">
        <w:rPr>
          <w:rFonts w:asciiTheme="majorHAnsi" w:hAnsiTheme="majorHAnsi" w:cstheme="majorHAnsi"/>
          <w:b/>
          <w:bCs/>
          <w:i/>
          <w:iCs/>
          <w:sz w:val="22"/>
          <w:szCs w:val="22"/>
        </w:rPr>
        <w:t>continuatività</w:t>
      </w:r>
      <w:proofErr w:type="spellEnd"/>
      <w:r w:rsidRPr="00AB1B34">
        <w:rPr>
          <w:rFonts w:asciiTheme="majorHAnsi" w:hAnsiTheme="majorHAnsi" w:cstheme="majorHAnsi"/>
          <w:b/>
          <w:bCs/>
          <w:i/>
          <w:iCs/>
          <w:sz w:val="22"/>
          <w:szCs w:val="22"/>
        </w:rPr>
        <w:t xml:space="preserve"> prima della domanda) da </w:t>
      </w:r>
      <w:proofErr w:type="spellStart"/>
      <w:r w:rsidRPr="00AB1B34">
        <w:rPr>
          <w:rFonts w:asciiTheme="majorHAnsi" w:hAnsiTheme="majorHAnsi" w:cstheme="majorHAnsi"/>
          <w:b/>
          <w:bCs/>
          <w:i/>
          <w:iCs/>
          <w:sz w:val="22"/>
          <w:szCs w:val="22"/>
        </w:rPr>
        <w:t>provarso</w:t>
      </w:r>
      <w:proofErr w:type="spellEnd"/>
      <w:r w:rsidRPr="00AB1B34">
        <w:rPr>
          <w:rFonts w:asciiTheme="majorHAnsi" w:hAnsiTheme="majorHAnsi" w:cstheme="majorHAnsi"/>
          <w:b/>
          <w:bCs/>
          <w:i/>
          <w:iCs/>
          <w:sz w:val="22"/>
          <w:szCs w:val="22"/>
        </w:rPr>
        <w:t xml:space="preserve"> con elementi oggettivi di riscontro.</w:t>
      </w:r>
      <w:r w:rsidRPr="00AB1B34">
        <w:rPr>
          <w:rFonts w:asciiTheme="majorHAnsi" w:hAnsiTheme="majorHAnsi" w:cstheme="majorHAnsi"/>
          <w:i/>
          <w:iCs/>
          <w:sz w:val="22"/>
          <w:szCs w:val="22"/>
        </w:rPr>
        <w:t xml:space="preserve"> I servizi potranno ricostruire l’effettiva situazione del soggetto in relazione alla vantata residenza effettiva decennale </w:t>
      </w:r>
      <w:proofErr w:type="gramStart"/>
      <w:r w:rsidRPr="00AB1B34">
        <w:rPr>
          <w:rFonts w:asciiTheme="majorHAnsi" w:hAnsiTheme="majorHAnsi" w:cstheme="majorHAnsi"/>
          <w:i/>
          <w:iCs/>
          <w:sz w:val="22"/>
          <w:szCs w:val="22"/>
        </w:rPr>
        <w:t>( e</w:t>
      </w:r>
      <w:proofErr w:type="gramEnd"/>
      <w:r w:rsidRPr="00AB1B34">
        <w:rPr>
          <w:rFonts w:asciiTheme="majorHAnsi" w:hAnsiTheme="majorHAnsi" w:cstheme="majorHAnsi"/>
          <w:i/>
          <w:iCs/>
          <w:sz w:val="22"/>
          <w:szCs w:val="22"/>
        </w:rPr>
        <w:t xml:space="preserve"> della </w:t>
      </w:r>
      <w:proofErr w:type="spellStart"/>
      <w:r w:rsidRPr="00AB1B34">
        <w:rPr>
          <w:rFonts w:asciiTheme="majorHAnsi" w:hAnsiTheme="majorHAnsi" w:cstheme="majorHAnsi"/>
          <w:i/>
          <w:iCs/>
          <w:sz w:val="22"/>
          <w:szCs w:val="22"/>
        </w:rPr>
        <w:t>continuatività</w:t>
      </w:r>
      <w:proofErr w:type="spellEnd"/>
      <w:r w:rsidRPr="00AB1B34">
        <w:rPr>
          <w:rFonts w:asciiTheme="majorHAnsi" w:hAnsiTheme="majorHAnsi" w:cstheme="majorHAnsi"/>
          <w:i/>
          <w:iCs/>
          <w:sz w:val="22"/>
          <w:szCs w:val="22"/>
        </w:rPr>
        <w:t xml:space="preserve"> come detto nell’ultimo biennio) avente le caratteristiche fissare dalla giurisprudenza di </w:t>
      </w:r>
      <w:proofErr w:type="spellStart"/>
      <w:r w:rsidRPr="00AB1B34">
        <w:rPr>
          <w:rFonts w:asciiTheme="majorHAnsi" w:hAnsiTheme="majorHAnsi" w:cstheme="majorHAnsi"/>
          <w:i/>
          <w:iCs/>
          <w:sz w:val="22"/>
          <w:szCs w:val="22"/>
        </w:rPr>
        <w:t>leggittimità</w:t>
      </w:r>
      <w:proofErr w:type="spellEnd"/>
      <w:r w:rsidRPr="00AB1B34">
        <w:rPr>
          <w:rFonts w:asciiTheme="majorHAnsi" w:hAnsiTheme="majorHAnsi" w:cstheme="majorHAnsi"/>
          <w:i/>
          <w:iCs/>
          <w:sz w:val="22"/>
          <w:szCs w:val="22"/>
        </w:rPr>
        <w:t xml:space="preserve"> ( elemento oggettivo e soggettivo) in collaborazione con il cittadino ed anche con altri comuni, e, solo in esito all’inesistenza, di riscontri obiettivi potrà ritenersi soddisfatto il requisito di ordine anagrafico.”</w:t>
      </w:r>
    </w:p>
    <w:p w14:paraId="5CA0F7B8" w14:textId="77777777" w:rsidR="00F51339" w:rsidRPr="00AB1B34" w:rsidRDefault="00F51339" w:rsidP="00AB1B34">
      <w:pPr>
        <w:spacing w:line="276" w:lineRule="auto"/>
        <w:jc w:val="both"/>
        <w:rPr>
          <w:rFonts w:asciiTheme="majorHAnsi" w:hAnsiTheme="majorHAnsi" w:cstheme="majorHAnsi"/>
          <w:sz w:val="22"/>
          <w:szCs w:val="22"/>
        </w:rPr>
      </w:pPr>
      <w:r w:rsidRPr="00AB1B34">
        <w:rPr>
          <w:rFonts w:asciiTheme="majorHAnsi" w:hAnsiTheme="majorHAnsi" w:cstheme="majorHAnsi"/>
          <w:i/>
          <w:iCs/>
          <w:sz w:val="22"/>
          <w:szCs w:val="22"/>
        </w:rPr>
        <w:lastRenderedPageBreak/>
        <w:t>(</w:t>
      </w:r>
      <w:proofErr w:type="spellStart"/>
      <w:r w:rsidRPr="00AB1B34">
        <w:rPr>
          <w:rFonts w:asciiTheme="majorHAnsi" w:hAnsiTheme="majorHAnsi" w:cstheme="majorHAnsi"/>
          <w:b/>
          <w:bCs/>
          <w:i/>
          <w:iCs/>
          <w:sz w:val="22"/>
          <w:szCs w:val="22"/>
        </w:rPr>
        <w:t>Cit</w:t>
      </w:r>
      <w:proofErr w:type="spellEnd"/>
      <w:r w:rsidRPr="00AB1B34">
        <w:rPr>
          <w:rFonts w:asciiTheme="majorHAnsi" w:hAnsiTheme="majorHAnsi" w:cstheme="majorHAnsi"/>
          <w:b/>
          <w:bCs/>
          <w:i/>
          <w:iCs/>
          <w:sz w:val="22"/>
          <w:szCs w:val="22"/>
        </w:rPr>
        <w:t xml:space="preserve">: </w:t>
      </w:r>
      <w:r w:rsidRPr="00AB1B34">
        <w:rPr>
          <w:rFonts w:asciiTheme="majorHAnsi" w:hAnsiTheme="majorHAnsi" w:cstheme="majorHAnsi"/>
          <w:sz w:val="22"/>
          <w:szCs w:val="22"/>
        </w:rPr>
        <w:t>m_lps.</w:t>
      </w:r>
      <w:proofErr w:type="gramStart"/>
      <w:r w:rsidRPr="00AB1B34">
        <w:rPr>
          <w:rFonts w:asciiTheme="majorHAnsi" w:hAnsiTheme="majorHAnsi" w:cstheme="majorHAnsi"/>
          <w:sz w:val="22"/>
          <w:szCs w:val="22"/>
        </w:rPr>
        <w:t>29.REGISTRO</w:t>
      </w:r>
      <w:proofErr w:type="gramEnd"/>
      <w:r w:rsidRPr="00AB1B34">
        <w:rPr>
          <w:rFonts w:asciiTheme="majorHAnsi" w:hAnsiTheme="majorHAnsi" w:cstheme="majorHAnsi"/>
          <w:sz w:val="22"/>
          <w:szCs w:val="22"/>
        </w:rPr>
        <w:t xml:space="preserve"> UFFICIALE.U.0003803.14-04-2020 - </w:t>
      </w:r>
      <w:hyperlink r:id="rId7" w:history="1">
        <w:r w:rsidRPr="00AB1B34">
          <w:rPr>
            <w:rStyle w:val="Collegamentoipertestuale"/>
            <w:rFonts w:asciiTheme="majorHAnsi" w:hAnsiTheme="majorHAnsi" w:cstheme="majorHAnsi"/>
            <w:sz w:val="22"/>
            <w:szCs w:val="22"/>
          </w:rPr>
          <w:t>https://www.asgi.it/wp-content/uploads/2020/04/Nota_2020_3803.pdf</w:t>
        </w:r>
      </w:hyperlink>
      <w:r w:rsidRPr="00AB1B34">
        <w:rPr>
          <w:rFonts w:asciiTheme="majorHAnsi" w:hAnsiTheme="majorHAnsi" w:cstheme="majorHAnsi"/>
          <w:sz w:val="22"/>
          <w:szCs w:val="22"/>
        </w:rPr>
        <w:t xml:space="preserve"> )</w:t>
      </w:r>
    </w:p>
    <w:p w14:paraId="264C2DFB" w14:textId="77777777" w:rsidR="00F51339" w:rsidRPr="00AB1B34" w:rsidRDefault="00F51339" w:rsidP="00AB1B34">
      <w:pPr>
        <w:numPr>
          <w:ilvl w:val="0"/>
          <w:numId w:val="8"/>
        </w:numPr>
        <w:spacing w:line="276" w:lineRule="auto"/>
        <w:jc w:val="both"/>
        <w:rPr>
          <w:rFonts w:asciiTheme="majorHAnsi" w:hAnsiTheme="majorHAnsi" w:cstheme="majorHAnsi"/>
          <w:i/>
          <w:iCs/>
          <w:sz w:val="22"/>
          <w:szCs w:val="22"/>
          <w:lang w:val="en-US"/>
        </w:rPr>
      </w:pPr>
      <w:r w:rsidRPr="00AB1B34">
        <w:rPr>
          <w:rFonts w:asciiTheme="majorHAnsi" w:hAnsiTheme="majorHAnsi" w:cstheme="majorHAnsi"/>
          <w:sz w:val="22"/>
          <w:szCs w:val="22"/>
        </w:rPr>
        <w:t xml:space="preserve">Che le modalità da noi rilevate di convocazione effettuate dai Comuni per la convocazione </w:t>
      </w:r>
      <w:proofErr w:type="spellStart"/>
      <w:r w:rsidRPr="00AB1B34">
        <w:rPr>
          <w:rFonts w:asciiTheme="majorHAnsi" w:hAnsiTheme="majorHAnsi" w:cstheme="majorHAnsi"/>
          <w:sz w:val="22"/>
          <w:szCs w:val="22"/>
        </w:rPr>
        <w:t>degl</w:t>
      </w:r>
      <w:proofErr w:type="spellEnd"/>
      <w:r w:rsidRPr="00AB1B34">
        <w:rPr>
          <w:rFonts w:asciiTheme="majorHAnsi" w:hAnsiTheme="majorHAnsi" w:cstheme="majorHAnsi"/>
          <w:sz w:val="22"/>
          <w:szCs w:val="22"/>
        </w:rPr>
        <w:t xml:space="preserve"> utenti per la verifica della Residenza Effettiva, nei comuni in cui ci sono state sono state effettuate per vie telefoniche senza tener conto della normativa in merito chiarita dalle sentenze sulla regolarità delle notificazioni (cfr. da ultimo cfr. Cass. n. 30952/2017; Cass. n. 4274/2019; Cass. 12380/2017), per </w:t>
      </w:r>
      <w:proofErr w:type="gramStart"/>
      <w:r w:rsidRPr="00AB1B34">
        <w:rPr>
          <w:rFonts w:asciiTheme="majorHAnsi" w:hAnsiTheme="majorHAnsi" w:cstheme="majorHAnsi"/>
          <w:sz w:val="22"/>
          <w:szCs w:val="22"/>
        </w:rPr>
        <w:t>i  profili</w:t>
      </w:r>
      <w:proofErr w:type="gramEnd"/>
      <w:r w:rsidRPr="00AB1B34">
        <w:rPr>
          <w:rFonts w:asciiTheme="majorHAnsi" w:hAnsiTheme="majorHAnsi" w:cstheme="majorHAnsi"/>
          <w:sz w:val="22"/>
          <w:szCs w:val="22"/>
        </w:rPr>
        <w:t xml:space="preserve"> fiscali derivanti dall'accertamento dell'abitazione abituale (cfr. Cass. n. 8628/2019 che richiama Cass. n. 26985/2009 e Cass. n. 13151/2010 e Cass. n. 12062/2017)   nonché   in ordine alla nozione -definita "di matrice civilistica"- di sede </w:t>
      </w:r>
      <w:proofErr w:type="gramStart"/>
      <w:r w:rsidRPr="00AB1B34">
        <w:rPr>
          <w:rFonts w:asciiTheme="majorHAnsi" w:hAnsiTheme="majorHAnsi" w:cstheme="majorHAnsi"/>
          <w:sz w:val="22"/>
          <w:szCs w:val="22"/>
        </w:rPr>
        <w:t>effettiva  delle</w:t>
      </w:r>
      <w:proofErr w:type="gramEnd"/>
      <w:r w:rsidRPr="00AB1B34">
        <w:rPr>
          <w:rFonts w:asciiTheme="majorHAnsi" w:hAnsiTheme="majorHAnsi" w:cstheme="majorHAnsi"/>
          <w:sz w:val="22"/>
          <w:szCs w:val="22"/>
        </w:rPr>
        <w:t xml:space="preserve"> società in alternativa  a quella  "legale" (da ultima Cass. n. 15184/2019). La nota Ministeriale del 14/04/</w:t>
      </w:r>
      <w:proofErr w:type="gramStart"/>
      <w:r w:rsidRPr="00AB1B34">
        <w:rPr>
          <w:rFonts w:asciiTheme="majorHAnsi" w:hAnsiTheme="majorHAnsi" w:cstheme="majorHAnsi"/>
          <w:sz w:val="22"/>
          <w:szCs w:val="22"/>
        </w:rPr>
        <w:t>2020  a</w:t>
      </w:r>
      <w:proofErr w:type="gramEnd"/>
      <w:r w:rsidRPr="00AB1B34">
        <w:rPr>
          <w:rFonts w:asciiTheme="majorHAnsi" w:hAnsiTheme="majorHAnsi" w:cstheme="majorHAnsi"/>
          <w:sz w:val="22"/>
          <w:szCs w:val="22"/>
        </w:rPr>
        <w:t xml:space="preserve"> tal proposito specifica: “</w:t>
      </w:r>
      <w:r w:rsidRPr="00AB1B34">
        <w:rPr>
          <w:rFonts w:asciiTheme="majorHAnsi" w:hAnsiTheme="majorHAnsi" w:cstheme="majorHAnsi"/>
          <w:i/>
          <w:iCs/>
          <w:sz w:val="22"/>
          <w:szCs w:val="22"/>
          <w:lang w:val="en-US"/>
        </w:rPr>
        <w:t xml:space="preserve">Emerge da </w:t>
      </w:r>
      <w:proofErr w:type="spellStart"/>
      <w:r w:rsidRPr="00AB1B34">
        <w:rPr>
          <w:rFonts w:asciiTheme="majorHAnsi" w:hAnsiTheme="majorHAnsi" w:cstheme="majorHAnsi"/>
          <w:i/>
          <w:iCs/>
          <w:sz w:val="22"/>
          <w:szCs w:val="22"/>
          <w:lang w:val="en-US"/>
        </w:rPr>
        <w:t>questi</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filoni</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giurisprudenziali</w:t>
      </w:r>
      <w:proofErr w:type="spellEnd"/>
      <w:r w:rsidRPr="00AB1B34">
        <w:rPr>
          <w:rFonts w:asciiTheme="majorHAnsi" w:hAnsiTheme="majorHAnsi" w:cstheme="majorHAnsi"/>
          <w:i/>
          <w:iCs/>
          <w:sz w:val="22"/>
          <w:szCs w:val="22"/>
          <w:lang w:val="en-US"/>
        </w:rPr>
        <w:t xml:space="preserve"> la </w:t>
      </w:r>
      <w:proofErr w:type="spellStart"/>
      <w:r w:rsidRPr="00AB1B34">
        <w:rPr>
          <w:rFonts w:asciiTheme="majorHAnsi" w:hAnsiTheme="majorHAnsi" w:cstheme="majorHAnsi"/>
          <w:i/>
          <w:iCs/>
          <w:sz w:val="22"/>
          <w:szCs w:val="22"/>
          <w:lang w:val="en-US"/>
        </w:rPr>
        <w:t>valorizzazione</w:t>
      </w:r>
      <w:proofErr w:type="spellEnd"/>
      <w:r w:rsidRPr="00AB1B34">
        <w:rPr>
          <w:rFonts w:asciiTheme="majorHAnsi" w:hAnsiTheme="majorHAnsi" w:cstheme="majorHAnsi"/>
          <w:i/>
          <w:iCs/>
          <w:sz w:val="22"/>
          <w:szCs w:val="22"/>
          <w:lang w:val="en-US"/>
        </w:rPr>
        <w:t xml:space="preserve"> di </w:t>
      </w:r>
      <w:proofErr w:type="spellStart"/>
      <w:r w:rsidRPr="00AB1B34">
        <w:rPr>
          <w:rFonts w:asciiTheme="majorHAnsi" w:hAnsiTheme="majorHAnsi" w:cstheme="majorHAnsi"/>
          <w:i/>
          <w:iCs/>
          <w:sz w:val="22"/>
          <w:szCs w:val="22"/>
          <w:lang w:val="en-US"/>
        </w:rPr>
        <w:t>contro</w:t>
      </w:r>
      <w:proofErr w:type="spellEnd"/>
      <w:r w:rsidRPr="00AB1B34">
        <w:rPr>
          <w:rFonts w:asciiTheme="majorHAnsi" w:hAnsiTheme="majorHAnsi" w:cstheme="majorHAnsi"/>
          <w:i/>
          <w:iCs/>
          <w:sz w:val="22"/>
          <w:szCs w:val="22"/>
          <w:lang w:val="en-US"/>
        </w:rPr>
        <w:t xml:space="preserve"> alle </w:t>
      </w:r>
      <w:proofErr w:type="spellStart"/>
      <w:r w:rsidRPr="00AB1B34">
        <w:rPr>
          <w:rFonts w:asciiTheme="majorHAnsi" w:hAnsiTheme="majorHAnsi" w:cstheme="majorHAnsi"/>
          <w:i/>
          <w:iCs/>
          <w:sz w:val="22"/>
          <w:szCs w:val="22"/>
          <w:lang w:val="en-US"/>
        </w:rPr>
        <w:t>annotazioni</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formali</w:t>
      </w:r>
      <w:proofErr w:type="spellEnd"/>
      <w:r w:rsidRPr="00AB1B34">
        <w:rPr>
          <w:rFonts w:asciiTheme="majorHAnsi" w:hAnsiTheme="majorHAnsi" w:cstheme="majorHAnsi"/>
          <w:i/>
          <w:iCs/>
          <w:sz w:val="22"/>
          <w:szCs w:val="22"/>
          <w:lang w:val="en-US"/>
        </w:rPr>
        <w:t xml:space="preserve"> "di </w:t>
      </w:r>
      <w:proofErr w:type="spellStart"/>
      <w:r w:rsidRPr="00AB1B34">
        <w:rPr>
          <w:rFonts w:asciiTheme="majorHAnsi" w:hAnsiTheme="majorHAnsi" w:cstheme="majorHAnsi"/>
          <w:i/>
          <w:iCs/>
          <w:sz w:val="22"/>
          <w:szCs w:val="22"/>
          <w:lang w:val="en-US"/>
        </w:rPr>
        <w:t>residenza</w:t>
      </w:r>
      <w:proofErr w:type="spellEnd"/>
      <w:r w:rsidRPr="00AB1B34">
        <w:rPr>
          <w:rFonts w:asciiTheme="majorHAnsi" w:hAnsiTheme="majorHAnsi" w:cstheme="majorHAnsi"/>
          <w:i/>
          <w:iCs/>
          <w:sz w:val="22"/>
          <w:szCs w:val="22"/>
          <w:lang w:val="en-US"/>
        </w:rPr>
        <w:t xml:space="preserve"> o "</w:t>
      </w:r>
      <w:proofErr w:type="spellStart"/>
      <w:r w:rsidRPr="00AB1B34">
        <w:rPr>
          <w:rFonts w:asciiTheme="majorHAnsi" w:hAnsiTheme="majorHAnsi" w:cstheme="majorHAnsi"/>
          <w:i/>
          <w:iCs/>
          <w:sz w:val="22"/>
          <w:szCs w:val="22"/>
          <w:lang w:val="en-US"/>
        </w:rPr>
        <w:t>sede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legale</w:t>
      </w:r>
      <w:proofErr w:type="spellEnd"/>
      <w:r w:rsidRPr="00AB1B34">
        <w:rPr>
          <w:rFonts w:asciiTheme="majorHAnsi" w:hAnsiTheme="majorHAnsi" w:cstheme="majorHAnsi"/>
          <w:i/>
          <w:iCs/>
          <w:sz w:val="22"/>
          <w:szCs w:val="22"/>
          <w:lang w:val="en-US"/>
        </w:rPr>
        <w:t xml:space="preserve">" di </w:t>
      </w:r>
      <w:proofErr w:type="spellStart"/>
      <w:r w:rsidRPr="00AB1B34">
        <w:rPr>
          <w:rFonts w:asciiTheme="majorHAnsi" w:hAnsiTheme="majorHAnsi" w:cstheme="majorHAnsi"/>
          <w:i/>
          <w:iCs/>
          <w:sz w:val="22"/>
          <w:szCs w:val="22"/>
          <w:lang w:val="en-US"/>
        </w:rPr>
        <w:t>criteri</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legati</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all'effettività</w:t>
      </w:r>
      <w:proofErr w:type="spellEnd"/>
      <w:r w:rsidRPr="00AB1B34">
        <w:rPr>
          <w:rFonts w:asciiTheme="majorHAnsi" w:hAnsiTheme="majorHAnsi" w:cstheme="majorHAnsi"/>
          <w:i/>
          <w:iCs/>
          <w:sz w:val="22"/>
          <w:szCs w:val="22"/>
          <w:lang w:val="en-US"/>
        </w:rPr>
        <w:t xml:space="preserve"> di </w:t>
      </w:r>
      <w:proofErr w:type="spellStart"/>
      <w:r w:rsidRPr="00AB1B34">
        <w:rPr>
          <w:rFonts w:asciiTheme="majorHAnsi" w:hAnsiTheme="majorHAnsi" w:cstheme="majorHAnsi"/>
          <w:i/>
          <w:iCs/>
          <w:sz w:val="22"/>
          <w:szCs w:val="22"/>
          <w:lang w:val="en-US"/>
        </w:rPr>
        <w:t>residenza</w:t>
      </w:r>
      <w:proofErr w:type="spellEnd"/>
      <w:r w:rsidRPr="00AB1B34">
        <w:rPr>
          <w:rFonts w:asciiTheme="majorHAnsi" w:hAnsiTheme="majorHAnsi" w:cstheme="majorHAnsi"/>
          <w:i/>
          <w:iCs/>
          <w:sz w:val="22"/>
          <w:szCs w:val="22"/>
          <w:lang w:val="en-US"/>
        </w:rPr>
        <w:t xml:space="preserve"> del </w:t>
      </w:r>
      <w:proofErr w:type="spellStart"/>
      <w:r w:rsidRPr="00AB1B34">
        <w:rPr>
          <w:rFonts w:asciiTheme="majorHAnsi" w:hAnsiTheme="majorHAnsi" w:cstheme="majorHAnsi"/>
          <w:i/>
          <w:iCs/>
          <w:sz w:val="22"/>
          <w:szCs w:val="22"/>
          <w:lang w:val="en-US"/>
        </w:rPr>
        <w:t>soggetto</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interessato</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che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può</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vincere</w:t>
      </w:r>
      <w:proofErr w:type="spellEnd"/>
      <w:r w:rsidRPr="00AB1B34">
        <w:rPr>
          <w:rFonts w:asciiTheme="majorHAnsi" w:hAnsiTheme="majorHAnsi" w:cstheme="majorHAnsi"/>
          <w:i/>
          <w:iCs/>
          <w:sz w:val="22"/>
          <w:szCs w:val="22"/>
          <w:lang w:val="en-US"/>
        </w:rPr>
        <w:t xml:space="preserve"> la </w:t>
      </w:r>
      <w:proofErr w:type="spellStart"/>
      <w:r w:rsidRPr="00AB1B34">
        <w:rPr>
          <w:rFonts w:asciiTheme="majorHAnsi" w:hAnsiTheme="majorHAnsi" w:cstheme="majorHAnsi"/>
          <w:i/>
          <w:iCs/>
          <w:sz w:val="22"/>
          <w:szCs w:val="22"/>
          <w:lang w:val="en-US"/>
        </w:rPr>
        <w:t>presunzione</w:t>
      </w:r>
      <w:proofErr w:type="spellEnd"/>
      <w:r w:rsidRPr="00AB1B34">
        <w:rPr>
          <w:rFonts w:asciiTheme="majorHAnsi" w:hAnsiTheme="majorHAnsi" w:cstheme="majorHAnsi"/>
          <w:i/>
          <w:iCs/>
          <w:sz w:val="22"/>
          <w:szCs w:val="22"/>
          <w:lang w:val="en-US"/>
        </w:rPr>
        <w:t xml:space="preserve"> di </w:t>
      </w:r>
      <w:proofErr w:type="spellStart"/>
      <w:r w:rsidRPr="00AB1B34">
        <w:rPr>
          <w:rFonts w:asciiTheme="majorHAnsi" w:hAnsiTheme="majorHAnsi" w:cstheme="majorHAnsi"/>
          <w:i/>
          <w:iCs/>
          <w:sz w:val="22"/>
          <w:szCs w:val="22"/>
          <w:lang w:val="en-US"/>
        </w:rPr>
        <w:t>conformità</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della</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realtà</w:t>
      </w:r>
      <w:proofErr w:type="spellEnd"/>
      <w:r w:rsidRPr="00AB1B34">
        <w:rPr>
          <w:rFonts w:asciiTheme="majorHAnsi" w:hAnsiTheme="majorHAnsi" w:cstheme="majorHAnsi"/>
          <w:i/>
          <w:iCs/>
          <w:sz w:val="22"/>
          <w:szCs w:val="22"/>
          <w:lang w:val="en-US"/>
        </w:rPr>
        <w:t xml:space="preserve">  con  </w:t>
      </w:r>
      <w:proofErr w:type="spellStart"/>
      <w:r w:rsidRPr="00AB1B34">
        <w:rPr>
          <w:rFonts w:asciiTheme="majorHAnsi" w:hAnsiTheme="majorHAnsi" w:cstheme="majorHAnsi"/>
          <w:i/>
          <w:iCs/>
          <w:sz w:val="22"/>
          <w:szCs w:val="22"/>
          <w:lang w:val="en-US"/>
        </w:rPr>
        <w:t>quanto</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attestato</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nei</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registri</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pubblici</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attraverso</w:t>
      </w:r>
      <w:proofErr w:type="spellEnd"/>
      <w:r w:rsidRPr="00AB1B34">
        <w:rPr>
          <w:rFonts w:asciiTheme="majorHAnsi" w:hAnsiTheme="majorHAnsi" w:cstheme="majorHAnsi"/>
          <w:i/>
          <w:iCs/>
          <w:sz w:val="22"/>
          <w:szCs w:val="22"/>
          <w:lang w:val="en-US"/>
        </w:rPr>
        <w:t xml:space="preserve"> la </w:t>
      </w:r>
      <w:proofErr w:type="spellStart"/>
      <w:r w:rsidRPr="00AB1B34">
        <w:rPr>
          <w:rFonts w:asciiTheme="majorHAnsi" w:hAnsiTheme="majorHAnsi" w:cstheme="majorHAnsi"/>
          <w:i/>
          <w:iCs/>
          <w:sz w:val="22"/>
          <w:szCs w:val="22"/>
          <w:lang w:val="en-US"/>
        </w:rPr>
        <w:t>prova</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che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incombe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sulla</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stessa</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parte</w:t>
      </w:r>
      <w:proofErr w:type="spellEnd"/>
      <w:r w:rsidRPr="00AB1B34">
        <w:rPr>
          <w:rFonts w:asciiTheme="majorHAnsi" w:hAnsiTheme="majorHAnsi" w:cstheme="majorHAnsi"/>
          <w:i/>
          <w:iCs/>
          <w:sz w:val="22"/>
          <w:szCs w:val="22"/>
          <w:lang w:val="en-US"/>
        </w:rPr>
        <w:t xml:space="preserve">.  Tale </w:t>
      </w:r>
      <w:proofErr w:type="spellStart"/>
      <w:proofErr w:type="gramStart"/>
      <w:r w:rsidRPr="00AB1B34">
        <w:rPr>
          <w:rFonts w:asciiTheme="majorHAnsi" w:hAnsiTheme="majorHAnsi" w:cstheme="majorHAnsi"/>
          <w:i/>
          <w:iCs/>
          <w:sz w:val="22"/>
          <w:szCs w:val="22"/>
          <w:lang w:val="en-US"/>
        </w:rPr>
        <w:t>orientamento</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trova</w:t>
      </w:r>
      <w:proofErr w:type="spellEnd"/>
      <w:proofErr w:type="gram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riscontro</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anche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nella</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giurisprudenza</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amministrativa</w:t>
      </w:r>
      <w:proofErr w:type="spellEnd"/>
      <w:r w:rsidRPr="00AB1B34">
        <w:rPr>
          <w:rFonts w:asciiTheme="majorHAnsi" w:hAnsiTheme="majorHAnsi" w:cstheme="majorHAnsi"/>
          <w:i/>
          <w:iCs/>
          <w:sz w:val="22"/>
          <w:szCs w:val="22"/>
          <w:lang w:val="en-US"/>
        </w:rPr>
        <w:t xml:space="preserve"> ( </w:t>
      </w:r>
      <w:proofErr w:type="spellStart"/>
      <w:r w:rsidRPr="00AB1B34">
        <w:rPr>
          <w:rFonts w:asciiTheme="majorHAnsi" w:hAnsiTheme="majorHAnsi" w:cstheme="majorHAnsi"/>
          <w:i/>
          <w:iCs/>
          <w:sz w:val="22"/>
          <w:szCs w:val="22"/>
          <w:lang w:val="en-US"/>
        </w:rPr>
        <w:t>cfr</w:t>
      </w:r>
      <w:proofErr w:type="spellEnd"/>
      <w:r w:rsidRPr="00AB1B34">
        <w:rPr>
          <w:rFonts w:asciiTheme="majorHAnsi" w:hAnsiTheme="majorHAnsi" w:cstheme="majorHAnsi"/>
          <w:i/>
          <w:iCs/>
          <w:sz w:val="22"/>
          <w:szCs w:val="22"/>
          <w:lang w:val="en-US"/>
        </w:rPr>
        <w:t xml:space="preserve">. CDS n. 7730/2010; Tar Lazio n. 321/2015). </w:t>
      </w:r>
      <w:proofErr w:type="spellStart"/>
      <w:r w:rsidRPr="00AB1B34">
        <w:rPr>
          <w:rFonts w:asciiTheme="majorHAnsi" w:hAnsiTheme="majorHAnsi" w:cstheme="majorHAnsi"/>
          <w:i/>
          <w:iCs/>
          <w:sz w:val="22"/>
          <w:szCs w:val="22"/>
          <w:lang w:val="en-US"/>
        </w:rPr>
        <w:t>Seppure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si</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tratta</w:t>
      </w:r>
      <w:proofErr w:type="spellEnd"/>
      <w:r w:rsidRPr="00AB1B34">
        <w:rPr>
          <w:rFonts w:asciiTheme="majorHAnsi" w:hAnsiTheme="majorHAnsi" w:cstheme="majorHAnsi"/>
          <w:i/>
          <w:iCs/>
          <w:sz w:val="22"/>
          <w:szCs w:val="22"/>
          <w:lang w:val="en-US"/>
        </w:rPr>
        <w:t xml:space="preserve"> di </w:t>
      </w:r>
      <w:proofErr w:type="spellStart"/>
      <w:r w:rsidRPr="00AB1B34">
        <w:rPr>
          <w:rFonts w:asciiTheme="majorHAnsi" w:hAnsiTheme="majorHAnsi" w:cstheme="majorHAnsi"/>
          <w:i/>
          <w:iCs/>
          <w:sz w:val="22"/>
          <w:szCs w:val="22"/>
          <w:lang w:val="en-US"/>
        </w:rPr>
        <w:t>principi</w:t>
      </w:r>
      <w:proofErr w:type="spellEnd"/>
      <w:r w:rsidRPr="00AB1B34">
        <w:rPr>
          <w:rFonts w:asciiTheme="majorHAnsi" w:hAnsiTheme="majorHAnsi" w:cstheme="majorHAnsi"/>
          <w:i/>
          <w:iCs/>
          <w:sz w:val="22"/>
          <w:szCs w:val="22"/>
          <w:lang w:val="en-US"/>
        </w:rPr>
        <w:t xml:space="preserve">, come </w:t>
      </w:r>
      <w:proofErr w:type="spellStart"/>
      <w:r w:rsidRPr="00AB1B34">
        <w:rPr>
          <w:rFonts w:asciiTheme="majorHAnsi" w:hAnsiTheme="majorHAnsi" w:cstheme="majorHAnsi"/>
          <w:i/>
          <w:iCs/>
          <w:sz w:val="22"/>
          <w:szCs w:val="22"/>
          <w:lang w:val="en-US"/>
        </w:rPr>
        <w:t>detto</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affermati</w:t>
      </w:r>
      <w:proofErr w:type="spellEnd"/>
      <w:r w:rsidRPr="00AB1B34">
        <w:rPr>
          <w:rFonts w:asciiTheme="majorHAnsi" w:hAnsiTheme="majorHAnsi" w:cstheme="majorHAnsi"/>
          <w:i/>
          <w:iCs/>
          <w:sz w:val="22"/>
          <w:szCs w:val="22"/>
          <w:lang w:val="en-US"/>
        </w:rPr>
        <w:t xml:space="preserve"> in </w:t>
      </w:r>
      <w:proofErr w:type="spellStart"/>
      <w:r w:rsidRPr="00AB1B34">
        <w:rPr>
          <w:rFonts w:asciiTheme="majorHAnsi" w:hAnsiTheme="majorHAnsi" w:cstheme="majorHAnsi"/>
          <w:i/>
          <w:iCs/>
          <w:sz w:val="22"/>
          <w:szCs w:val="22"/>
          <w:lang w:val="en-US"/>
        </w:rPr>
        <w:t>relazione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ad</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ambiti</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specifici</w:t>
      </w:r>
      <w:proofErr w:type="spellEnd"/>
      <w:r w:rsidRPr="00AB1B34">
        <w:rPr>
          <w:rFonts w:asciiTheme="majorHAnsi" w:hAnsiTheme="majorHAnsi" w:cstheme="majorHAnsi"/>
          <w:i/>
          <w:iCs/>
          <w:sz w:val="22"/>
          <w:szCs w:val="22"/>
          <w:lang w:val="en-US"/>
        </w:rPr>
        <w:t xml:space="preserve"> e </w:t>
      </w:r>
      <w:proofErr w:type="spellStart"/>
      <w:r w:rsidRPr="00AB1B34">
        <w:rPr>
          <w:rFonts w:asciiTheme="majorHAnsi" w:hAnsiTheme="majorHAnsi" w:cstheme="majorHAnsi"/>
          <w:i/>
          <w:iCs/>
          <w:sz w:val="22"/>
          <w:szCs w:val="22"/>
          <w:lang w:val="en-US"/>
        </w:rPr>
        <w:t>delimitati</w:t>
      </w:r>
      <w:proofErr w:type="spellEnd"/>
      <w:r w:rsidRPr="00AB1B34">
        <w:rPr>
          <w:rFonts w:asciiTheme="majorHAnsi" w:hAnsiTheme="majorHAnsi" w:cstheme="majorHAnsi"/>
          <w:i/>
          <w:iCs/>
          <w:sz w:val="22"/>
          <w:szCs w:val="22"/>
          <w:lang w:val="en-US"/>
        </w:rPr>
        <w:t xml:space="preserve"> è </w:t>
      </w:r>
      <w:proofErr w:type="spellStart"/>
      <w:r w:rsidRPr="00AB1B34">
        <w:rPr>
          <w:rFonts w:asciiTheme="majorHAnsi" w:hAnsiTheme="majorHAnsi" w:cstheme="majorHAnsi"/>
          <w:i/>
          <w:iCs/>
          <w:sz w:val="22"/>
          <w:szCs w:val="22"/>
          <w:lang w:val="en-US"/>
        </w:rPr>
        <w:t>indubbio</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che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questa</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evoluzione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interpretativa</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si</w:t>
      </w:r>
      <w:proofErr w:type="spellEnd"/>
      <w:r w:rsidRPr="00AB1B34">
        <w:rPr>
          <w:rFonts w:asciiTheme="majorHAnsi" w:hAnsiTheme="majorHAnsi" w:cstheme="majorHAnsi"/>
          <w:i/>
          <w:iCs/>
          <w:sz w:val="22"/>
          <w:szCs w:val="22"/>
          <w:lang w:val="en-US"/>
        </w:rPr>
        <w:t xml:space="preserve"> è </w:t>
      </w:r>
      <w:proofErr w:type="spellStart"/>
      <w:r w:rsidRPr="00AB1B34">
        <w:rPr>
          <w:rFonts w:asciiTheme="majorHAnsi" w:hAnsiTheme="majorHAnsi" w:cstheme="majorHAnsi"/>
          <w:i/>
          <w:iCs/>
          <w:sz w:val="22"/>
          <w:szCs w:val="22"/>
          <w:lang w:val="en-US"/>
        </w:rPr>
        <w:t>affermata</w:t>
      </w:r>
      <w:proofErr w:type="spellEnd"/>
      <w:r w:rsidRPr="00AB1B34">
        <w:rPr>
          <w:rFonts w:asciiTheme="majorHAnsi" w:hAnsiTheme="majorHAnsi" w:cstheme="majorHAnsi"/>
          <w:i/>
          <w:iCs/>
          <w:sz w:val="22"/>
          <w:szCs w:val="22"/>
          <w:lang w:val="en-US"/>
        </w:rPr>
        <w:t xml:space="preserve"> per </w:t>
      </w:r>
      <w:proofErr w:type="spellStart"/>
      <w:r w:rsidRPr="00AB1B34">
        <w:rPr>
          <w:rFonts w:asciiTheme="majorHAnsi" w:hAnsiTheme="majorHAnsi" w:cstheme="majorHAnsi"/>
          <w:i/>
          <w:iCs/>
          <w:sz w:val="22"/>
          <w:szCs w:val="22"/>
          <w:lang w:val="en-US"/>
        </w:rPr>
        <w:t>tenere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pienamente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conto</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della</w:t>
      </w:r>
      <w:proofErr w:type="spellEnd"/>
      <w:r w:rsidRPr="00AB1B34">
        <w:rPr>
          <w:rFonts w:asciiTheme="majorHAnsi" w:hAnsiTheme="majorHAnsi" w:cstheme="majorHAnsi"/>
          <w:i/>
          <w:iCs/>
          <w:sz w:val="22"/>
          <w:szCs w:val="22"/>
          <w:lang w:val="en-US"/>
        </w:rPr>
        <w:t xml:space="preserve"> ratio </w:t>
      </w:r>
      <w:proofErr w:type="spellStart"/>
      <w:r w:rsidRPr="00AB1B34">
        <w:rPr>
          <w:rFonts w:asciiTheme="majorHAnsi" w:hAnsiTheme="majorHAnsi" w:cstheme="majorHAnsi"/>
          <w:i/>
          <w:iCs/>
          <w:sz w:val="22"/>
          <w:szCs w:val="22"/>
          <w:lang w:val="en-US"/>
        </w:rPr>
        <w:t>perseguita</w:t>
      </w:r>
      <w:proofErr w:type="spellEnd"/>
      <w:r w:rsidRPr="00AB1B34">
        <w:rPr>
          <w:rFonts w:asciiTheme="majorHAnsi" w:hAnsiTheme="majorHAnsi" w:cstheme="majorHAnsi"/>
          <w:i/>
          <w:iCs/>
          <w:sz w:val="22"/>
          <w:szCs w:val="22"/>
          <w:lang w:val="en-US"/>
        </w:rPr>
        <w:t xml:space="preserve"> dal </w:t>
      </w:r>
      <w:proofErr w:type="spellStart"/>
      <w:r w:rsidRPr="00AB1B34">
        <w:rPr>
          <w:rFonts w:asciiTheme="majorHAnsi" w:hAnsiTheme="majorHAnsi" w:cstheme="majorHAnsi"/>
          <w:i/>
          <w:iCs/>
          <w:sz w:val="22"/>
          <w:szCs w:val="22"/>
          <w:lang w:val="en-US"/>
        </w:rPr>
        <w:t>legislatore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laddove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emerga</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l'intendimento</w:t>
      </w:r>
      <w:proofErr w:type="spellEnd"/>
      <w:r w:rsidRPr="00AB1B34">
        <w:rPr>
          <w:rFonts w:asciiTheme="majorHAnsi" w:hAnsiTheme="majorHAnsi" w:cstheme="majorHAnsi"/>
          <w:i/>
          <w:iCs/>
          <w:sz w:val="22"/>
          <w:szCs w:val="22"/>
          <w:lang w:val="en-US"/>
        </w:rPr>
        <w:t xml:space="preserve"> di </w:t>
      </w:r>
      <w:proofErr w:type="spellStart"/>
      <w:r w:rsidRPr="00AB1B34">
        <w:rPr>
          <w:rFonts w:asciiTheme="majorHAnsi" w:hAnsiTheme="majorHAnsi" w:cstheme="majorHAnsi"/>
          <w:i/>
          <w:iCs/>
          <w:sz w:val="22"/>
          <w:szCs w:val="22"/>
          <w:lang w:val="en-US"/>
        </w:rPr>
        <w:t>stabilire</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l'effettività</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della</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presenza</w:t>
      </w:r>
      <w:proofErr w:type="spellEnd"/>
      <w:r w:rsidRPr="00AB1B34">
        <w:rPr>
          <w:rFonts w:asciiTheme="majorHAnsi" w:hAnsiTheme="majorHAnsi" w:cstheme="majorHAnsi"/>
          <w:i/>
          <w:iCs/>
          <w:sz w:val="22"/>
          <w:szCs w:val="22"/>
          <w:lang w:val="en-US"/>
        </w:rPr>
        <w:t xml:space="preserve"> del </w:t>
      </w:r>
      <w:proofErr w:type="spellStart"/>
      <w:r w:rsidRPr="00AB1B34">
        <w:rPr>
          <w:rFonts w:asciiTheme="majorHAnsi" w:hAnsiTheme="majorHAnsi" w:cstheme="majorHAnsi"/>
          <w:i/>
          <w:iCs/>
          <w:sz w:val="22"/>
          <w:szCs w:val="22"/>
          <w:lang w:val="en-US"/>
        </w:rPr>
        <w:t>soggetto</w:t>
      </w:r>
      <w:proofErr w:type="spellEnd"/>
      <w:r w:rsidRPr="00AB1B34">
        <w:rPr>
          <w:rFonts w:asciiTheme="majorHAnsi" w:hAnsiTheme="majorHAnsi" w:cstheme="majorHAnsi"/>
          <w:i/>
          <w:iCs/>
          <w:sz w:val="22"/>
          <w:szCs w:val="22"/>
          <w:lang w:val="en-US"/>
        </w:rPr>
        <w:t xml:space="preserve"> in </w:t>
      </w:r>
      <w:proofErr w:type="spellStart"/>
      <w:r w:rsidRPr="00AB1B34">
        <w:rPr>
          <w:rFonts w:asciiTheme="majorHAnsi" w:hAnsiTheme="majorHAnsi" w:cstheme="majorHAnsi"/>
          <w:i/>
          <w:iCs/>
          <w:sz w:val="22"/>
          <w:szCs w:val="22"/>
          <w:lang w:val="en-US"/>
        </w:rPr>
        <w:t>determinata</w:t>
      </w:r>
      <w:proofErr w:type="spellEnd"/>
      <w:r w:rsidRPr="00AB1B34">
        <w:rPr>
          <w:rFonts w:asciiTheme="majorHAnsi" w:hAnsiTheme="majorHAnsi" w:cstheme="majorHAnsi"/>
          <w:i/>
          <w:iCs/>
          <w:sz w:val="22"/>
          <w:szCs w:val="22"/>
          <w:lang w:val="en-US"/>
        </w:rPr>
        <w:t xml:space="preserve"> </w:t>
      </w:r>
      <w:proofErr w:type="spellStart"/>
      <w:r w:rsidRPr="00AB1B34">
        <w:rPr>
          <w:rFonts w:asciiTheme="majorHAnsi" w:hAnsiTheme="majorHAnsi" w:cstheme="majorHAnsi"/>
          <w:i/>
          <w:iCs/>
          <w:sz w:val="22"/>
          <w:szCs w:val="22"/>
          <w:lang w:val="en-US"/>
        </w:rPr>
        <w:t>sede</w:t>
      </w:r>
      <w:proofErr w:type="spellEnd"/>
      <w:r w:rsidRPr="00AB1B34">
        <w:rPr>
          <w:rFonts w:asciiTheme="majorHAnsi" w:hAnsiTheme="majorHAnsi" w:cstheme="majorHAnsi"/>
          <w:i/>
          <w:iCs/>
          <w:sz w:val="22"/>
          <w:szCs w:val="22"/>
          <w:lang w:val="en-US"/>
        </w:rPr>
        <w:t xml:space="preserve"> o </w:t>
      </w:r>
      <w:proofErr w:type="spellStart"/>
      <w:r w:rsidRPr="00AB1B34">
        <w:rPr>
          <w:rFonts w:asciiTheme="majorHAnsi" w:hAnsiTheme="majorHAnsi" w:cstheme="majorHAnsi"/>
          <w:i/>
          <w:iCs/>
          <w:sz w:val="22"/>
          <w:szCs w:val="22"/>
          <w:lang w:val="en-US"/>
        </w:rPr>
        <w:t>abitazione</w:t>
      </w:r>
      <w:proofErr w:type="spellEnd"/>
      <w:r w:rsidRPr="00AB1B34">
        <w:rPr>
          <w:rFonts w:asciiTheme="majorHAnsi" w:hAnsiTheme="majorHAnsi" w:cstheme="majorHAnsi"/>
          <w:i/>
          <w:iCs/>
          <w:sz w:val="22"/>
          <w:szCs w:val="22"/>
          <w:lang w:val="en-US"/>
        </w:rPr>
        <w:t>”</w:t>
      </w:r>
    </w:p>
    <w:p w14:paraId="538CAB62" w14:textId="77777777" w:rsidR="00F51339" w:rsidRPr="00AB1B34" w:rsidRDefault="00F51339" w:rsidP="00AB1B34">
      <w:pPr>
        <w:spacing w:line="276" w:lineRule="auto"/>
        <w:jc w:val="both"/>
        <w:rPr>
          <w:rFonts w:asciiTheme="majorHAnsi" w:hAnsiTheme="majorHAnsi" w:cstheme="majorHAnsi"/>
          <w:sz w:val="22"/>
          <w:szCs w:val="22"/>
        </w:rPr>
      </w:pPr>
      <w:r w:rsidRPr="00AB1B34">
        <w:rPr>
          <w:rFonts w:asciiTheme="majorHAnsi" w:hAnsiTheme="majorHAnsi" w:cstheme="majorHAnsi"/>
          <w:sz w:val="22"/>
          <w:szCs w:val="22"/>
          <w:lang w:val="en-US"/>
        </w:rPr>
        <w:t xml:space="preserve">Si </w:t>
      </w:r>
      <w:proofErr w:type="spellStart"/>
      <w:r w:rsidRPr="00AB1B34">
        <w:rPr>
          <w:rFonts w:asciiTheme="majorHAnsi" w:hAnsiTheme="majorHAnsi" w:cstheme="majorHAnsi"/>
          <w:sz w:val="22"/>
          <w:szCs w:val="22"/>
          <w:lang w:val="en-US"/>
        </w:rPr>
        <w:t>segnala</w:t>
      </w:r>
      <w:proofErr w:type="spellEnd"/>
      <w:r w:rsidRPr="00AB1B34">
        <w:rPr>
          <w:rFonts w:asciiTheme="majorHAnsi" w:hAnsiTheme="majorHAnsi" w:cstheme="majorHAnsi"/>
          <w:sz w:val="22"/>
          <w:szCs w:val="22"/>
          <w:lang w:val="en-US"/>
        </w:rPr>
        <w:t xml:space="preserve"> </w:t>
      </w:r>
      <w:proofErr w:type="spellStart"/>
      <w:r w:rsidRPr="00AB1B34">
        <w:rPr>
          <w:rFonts w:asciiTheme="majorHAnsi" w:hAnsiTheme="majorHAnsi" w:cstheme="majorHAnsi"/>
          <w:sz w:val="22"/>
          <w:szCs w:val="22"/>
          <w:lang w:val="en-US"/>
        </w:rPr>
        <w:t>inoltre</w:t>
      </w:r>
      <w:proofErr w:type="spellEnd"/>
      <w:r w:rsidRPr="00AB1B34">
        <w:rPr>
          <w:rFonts w:asciiTheme="majorHAnsi" w:hAnsiTheme="majorHAnsi" w:cstheme="majorHAnsi"/>
          <w:sz w:val="22"/>
          <w:szCs w:val="22"/>
          <w:lang w:val="en-US"/>
        </w:rPr>
        <w:t xml:space="preserve"> </w:t>
      </w:r>
      <w:proofErr w:type="spellStart"/>
      <w:r w:rsidRPr="00AB1B34">
        <w:rPr>
          <w:rFonts w:asciiTheme="majorHAnsi" w:hAnsiTheme="majorHAnsi" w:cstheme="majorHAnsi"/>
          <w:sz w:val="22"/>
          <w:szCs w:val="22"/>
          <w:lang w:val="en-US"/>
        </w:rPr>
        <w:t>che</w:t>
      </w:r>
      <w:proofErr w:type="spellEnd"/>
      <w:r w:rsidRPr="00AB1B34">
        <w:rPr>
          <w:rFonts w:asciiTheme="majorHAnsi" w:hAnsiTheme="majorHAnsi" w:cstheme="majorHAnsi"/>
          <w:sz w:val="22"/>
          <w:szCs w:val="22"/>
          <w:lang w:val="en-US"/>
        </w:rPr>
        <w:t xml:space="preserve"> ad </w:t>
      </w:r>
      <w:proofErr w:type="spellStart"/>
      <w:r w:rsidRPr="00AB1B34">
        <w:rPr>
          <w:rFonts w:asciiTheme="majorHAnsi" w:hAnsiTheme="majorHAnsi" w:cstheme="majorHAnsi"/>
          <w:sz w:val="22"/>
          <w:szCs w:val="22"/>
          <w:lang w:val="en-US"/>
        </w:rPr>
        <w:t>oggi</w:t>
      </w:r>
      <w:proofErr w:type="spellEnd"/>
      <w:r w:rsidRPr="00AB1B34">
        <w:rPr>
          <w:rFonts w:asciiTheme="majorHAnsi" w:hAnsiTheme="majorHAnsi" w:cstheme="majorHAnsi"/>
          <w:sz w:val="22"/>
          <w:szCs w:val="22"/>
          <w:lang w:val="en-US"/>
        </w:rPr>
        <w:t xml:space="preserve"> </w:t>
      </w:r>
      <w:proofErr w:type="spellStart"/>
      <w:r w:rsidRPr="00AB1B34">
        <w:rPr>
          <w:rFonts w:asciiTheme="majorHAnsi" w:hAnsiTheme="majorHAnsi" w:cstheme="majorHAnsi"/>
          <w:sz w:val="22"/>
          <w:szCs w:val="22"/>
          <w:lang w:val="en-US"/>
        </w:rPr>
        <w:t>sono</w:t>
      </w:r>
      <w:proofErr w:type="spellEnd"/>
      <w:r w:rsidRPr="00AB1B34">
        <w:rPr>
          <w:rFonts w:asciiTheme="majorHAnsi" w:hAnsiTheme="majorHAnsi" w:cstheme="majorHAnsi"/>
          <w:sz w:val="22"/>
          <w:szCs w:val="22"/>
          <w:lang w:val="en-US"/>
        </w:rPr>
        <w:t xml:space="preserve"> </w:t>
      </w:r>
      <w:proofErr w:type="spellStart"/>
      <w:r w:rsidRPr="00AB1B34">
        <w:rPr>
          <w:rFonts w:asciiTheme="majorHAnsi" w:hAnsiTheme="majorHAnsi" w:cstheme="majorHAnsi"/>
          <w:sz w:val="22"/>
          <w:szCs w:val="22"/>
          <w:lang w:val="en-US"/>
        </w:rPr>
        <w:t>aperte</w:t>
      </w:r>
      <w:proofErr w:type="spellEnd"/>
      <w:r w:rsidRPr="00AB1B34">
        <w:rPr>
          <w:rFonts w:asciiTheme="majorHAnsi" w:hAnsiTheme="majorHAnsi" w:cstheme="majorHAnsi"/>
          <w:sz w:val="22"/>
          <w:szCs w:val="22"/>
          <w:lang w:val="en-US"/>
        </w:rPr>
        <w:t xml:space="preserve"> </w:t>
      </w:r>
      <w:proofErr w:type="spellStart"/>
      <w:r w:rsidRPr="00AB1B34">
        <w:rPr>
          <w:rFonts w:asciiTheme="majorHAnsi" w:hAnsiTheme="majorHAnsi" w:cstheme="majorHAnsi"/>
          <w:sz w:val="22"/>
          <w:szCs w:val="22"/>
          <w:lang w:val="en-US"/>
        </w:rPr>
        <w:t>numerose</w:t>
      </w:r>
      <w:proofErr w:type="spellEnd"/>
      <w:r w:rsidRPr="00AB1B34">
        <w:rPr>
          <w:rFonts w:asciiTheme="majorHAnsi" w:hAnsiTheme="majorHAnsi" w:cstheme="majorHAnsi"/>
          <w:sz w:val="22"/>
          <w:szCs w:val="22"/>
          <w:lang w:val="en-US"/>
        </w:rPr>
        <w:t xml:space="preserve"> </w:t>
      </w:r>
      <w:proofErr w:type="spellStart"/>
      <w:r w:rsidRPr="00AB1B34">
        <w:rPr>
          <w:rFonts w:asciiTheme="majorHAnsi" w:hAnsiTheme="majorHAnsi" w:cstheme="majorHAnsi"/>
          <w:sz w:val="22"/>
          <w:szCs w:val="22"/>
          <w:lang w:val="en-US"/>
        </w:rPr>
        <w:t>denuncie</w:t>
      </w:r>
      <w:proofErr w:type="spellEnd"/>
      <w:r w:rsidRPr="00AB1B34">
        <w:rPr>
          <w:rFonts w:asciiTheme="majorHAnsi" w:hAnsiTheme="majorHAnsi" w:cstheme="majorHAnsi"/>
          <w:sz w:val="22"/>
          <w:szCs w:val="22"/>
          <w:lang w:val="en-US"/>
        </w:rPr>
        <w:t xml:space="preserve"> e </w:t>
      </w:r>
      <w:proofErr w:type="spellStart"/>
      <w:r w:rsidRPr="00AB1B34">
        <w:rPr>
          <w:rFonts w:asciiTheme="majorHAnsi" w:hAnsiTheme="majorHAnsi" w:cstheme="majorHAnsi"/>
          <w:sz w:val="22"/>
          <w:szCs w:val="22"/>
          <w:lang w:val="en-US"/>
        </w:rPr>
        <w:t>ricorsi</w:t>
      </w:r>
      <w:proofErr w:type="spellEnd"/>
      <w:r w:rsidRPr="00AB1B34">
        <w:rPr>
          <w:rFonts w:asciiTheme="majorHAnsi" w:hAnsiTheme="majorHAnsi" w:cstheme="majorHAnsi"/>
          <w:sz w:val="22"/>
          <w:szCs w:val="22"/>
          <w:lang w:val="en-US"/>
        </w:rPr>
        <w:t xml:space="preserve"> in </w:t>
      </w:r>
      <w:proofErr w:type="spellStart"/>
      <w:r w:rsidRPr="00AB1B34">
        <w:rPr>
          <w:rFonts w:asciiTheme="majorHAnsi" w:hAnsiTheme="majorHAnsi" w:cstheme="majorHAnsi"/>
          <w:sz w:val="22"/>
          <w:szCs w:val="22"/>
          <w:lang w:val="en-US"/>
        </w:rPr>
        <w:t>merito</w:t>
      </w:r>
      <w:proofErr w:type="spellEnd"/>
      <w:r w:rsidRPr="00AB1B34">
        <w:rPr>
          <w:rFonts w:asciiTheme="majorHAnsi" w:hAnsiTheme="majorHAnsi" w:cstheme="majorHAnsi"/>
          <w:sz w:val="22"/>
          <w:szCs w:val="22"/>
          <w:lang w:val="en-US"/>
        </w:rPr>
        <w:t xml:space="preserve"> al </w:t>
      </w:r>
      <w:proofErr w:type="spellStart"/>
      <w:r w:rsidRPr="00AB1B34">
        <w:rPr>
          <w:rFonts w:asciiTheme="majorHAnsi" w:hAnsiTheme="majorHAnsi" w:cstheme="majorHAnsi"/>
          <w:sz w:val="22"/>
          <w:szCs w:val="22"/>
          <w:lang w:val="en-US"/>
        </w:rPr>
        <w:t>requisito</w:t>
      </w:r>
      <w:proofErr w:type="spellEnd"/>
      <w:r w:rsidRPr="00AB1B34">
        <w:rPr>
          <w:rFonts w:asciiTheme="majorHAnsi" w:hAnsiTheme="majorHAnsi" w:cstheme="majorHAnsi"/>
          <w:sz w:val="22"/>
          <w:szCs w:val="22"/>
          <w:lang w:val="en-US"/>
        </w:rPr>
        <w:t xml:space="preserve"> di </w:t>
      </w:r>
      <w:proofErr w:type="spellStart"/>
      <w:r w:rsidRPr="00AB1B34">
        <w:rPr>
          <w:rFonts w:asciiTheme="majorHAnsi" w:hAnsiTheme="majorHAnsi" w:cstheme="majorHAnsi"/>
          <w:sz w:val="22"/>
          <w:szCs w:val="22"/>
          <w:lang w:val="en-US"/>
        </w:rPr>
        <w:t>residenza</w:t>
      </w:r>
      <w:proofErr w:type="spellEnd"/>
      <w:r w:rsidRPr="00AB1B34">
        <w:rPr>
          <w:rFonts w:asciiTheme="majorHAnsi" w:hAnsiTheme="majorHAnsi" w:cstheme="majorHAnsi"/>
          <w:sz w:val="22"/>
          <w:szCs w:val="22"/>
          <w:lang w:val="en-US"/>
        </w:rPr>
        <w:t xml:space="preserve"> </w:t>
      </w:r>
      <w:proofErr w:type="spellStart"/>
      <w:r w:rsidRPr="00AB1B34">
        <w:rPr>
          <w:rFonts w:asciiTheme="majorHAnsi" w:hAnsiTheme="majorHAnsi" w:cstheme="majorHAnsi"/>
          <w:sz w:val="22"/>
          <w:szCs w:val="22"/>
          <w:lang w:val="en-US"/>
        </w:rPr>
        <w:t>che</w:t>
      </w:r>
      <w:proofErr w:type="spellEnd"/>
      <w:r w:rsidRPr="00AB1B34">
        <w:rPr>
          <w:rFonts w:asciiTheme="majorHAnsi" w:hAnsiTheme="majorHAnsi" w:cstheme="majorHAnsi"/>
          <w:sz w:val="22"/>
          <w:szCs w:val="22"/>
          <w:lang w:val="en-US"/>
        </w:rPr>
        <w:t xml:space="preserve"> </w:t>
      </w:r>
      <w:proofErr w:type="spellStart"/>
      <w:r w:rsidRPr="00AB1B34">
        <w:rPr>
          <w:rFonts w:asciiTheme="majorHAnsi" w:hAnsiTheme="majorHAnsi" w:cstheme="majorHAnsi"/>
          <w:sz w:val="22"/>
          <w:szCs w:val="22"/>
          <w:lang w:val="en-US"/>
        </w:rPr>
        <w:t>rappresenta</w:t>
      </w:r>
      <w:proofErr w:type="spellEnd"/>
      <w:r w:rsidRPr="00AB1B34">
        <w:rPr>
          <w:rFonts w:asciiTheme="majorHAnsi" w:hAnsiTheme="majorHAnsi" w:cstheme="majorHAnsi"/>
          <w:sz w:val="22"/>
          <w:szCs w:val="22"/>
          <w:lang w:val="en-US"/>
        </w:rPr>
        <w:t xml:space="preserve"> un </w:t>
      </w:r>
      <w:proofErr w:type="spellStart"/>
      <w:r w:rsidRPr="00AB1B34">
        <w:rPr>
          <w:rFonts w:asciiTheme="majorHAnsi" w:hAnsiTheme="majorHAnsi" w:cstheme="majorHAnsi"/>
          <w:sz w:val="22"/>
          <w:szCs w:val="22"/>
          <w:lang w:val="en-US"/>
        </w:rPr>
        <w:t>reuisito</w:t>
      </w:r>
      <w:proofErr w:type="spellEnd"/>
      <w:r w:rsidRPr="00AB1B34">
        <w:rPr>
          <w:rFonts w:asciiTheme="majorHAnsi" w:hAnsiTheme="majorHAnsi" w:cstheme="majorHAnsi"/>
          <w:sz w:val="22"/>
          <w:szCs w:val="22"/>
          <w:lang w:val="en-US"/>
        </w:rPr>
        <w:t xml:space="preserve"> in </w:t>
      </w:r>
      <w:proofErr w:type="spellStart"/>
      <w:r w:rsidRPr="00AB1B34">
        <w:rPr>
          <w:rFonts w:asciiTheme="majorHAnsi" w:hAnsiTheme="majorHAnsi" w:cstheme="majorHAnsi"/>
          <w:sz w:val="22"/>
          <w:szCs w:val="22"/>
          <w:lang w:val="en-US"/>
        </w:rPr>
        <w:t>netto</w:t>
      </w:r>
      <w:proofErr w:type="spellEnd"/>
      <w:r w:rsidRPr="00AB1B34">
        <w:rPr>
          <w:rFonts w:asciiTheme="majorHAnsi" w:hAnsiTheme="majorHAnsi" w:cstheme="majorHAnsi"/>
          <w:b/>
          <w:bCs/>
          <w:sz w:val="22"/>
          <w:szCs w:val="22"/>
        </w:rPr>
        <w:t xml:space="preserve"> contrasto con la consolidata giurisprudenza della Corte di Giustizia dell’Unione Europea </w:t>
      </w:r>
      <w:r w:rsidRPr="00AB1B34">
        <w:rPr>
          <w:rFonts w:asciiTheme="majorHAnsi" w:hAnsiTheme="majorHAnsi" w:cstheme="majorHAnsi"/>
          <w:sz w:val="22"/>
          <w:szCs w:val="22"/>
        </w:rPr>
        <w:t>secondo la quale requisiti così elevati di residenza costituiscono un ostacolo inaccettabile e illegittimo alla libera circolazione dei cittadini tra gli Stati membri, che è un valore irrinunciabile dell’Unione.</w:t>
      </w:r>
    </w:p>
    <w:p w14:paraId="5697A717" w14:textId="77777777" w:rsidR="00F51339" w:rsidRPr="00AB1B34" w:rsidRDefault="00F51339" w:rsidP="00AB1B34">
      <w:pPr>
        <w:spacing w:line="276" w:lineRule="auto"/>
        <w:jc w:val="both"/>
        <w:rPr>
          <w:rFonts w:asciiTheme="majorHAnsi" w:hAnsiTheme="majorHAnsi" w:cstheme="majorHAnsi"/>
          <w:b/>
          <w:bCs/>
          <w:sz w:val="22"/>
          <w:szCs w:val="22"/>
          <w:lang w:val="en-US"/>
        </w:rPr>
      </w:pPr>
      <w:r w:rsidRPr="00AB1B34">
        <w:rPr>
          <w:rFonts w:asciiTheme="majorHAnsi" w:hAnsiTheme="majorHAnsi" w:cstheme="majorHAnsi"/>
          <w:b/>
          <w:bCs/>
          <w:sz w:val="22"/>
          <w:szCs w:val="22"/>
        </w:rPr>
        <w:t>Nello specifico:</w:t>
      </w:r>
    </w:p>
    <w:p w14:paraId="12F20B0E" w14:textId="77777777" w:rsidR="00F51339" w:rsidRPr="00AB1B34" w:rsidRDefault="00F51339" w:rsidP="00AB1B34">
      <w:pPr>
        <w:numPr>
          <w:ilvl w:val="0"/>
          <w:numId w:val="8"/>
        </w:num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ASGI, Avvocati per Niente, Naga e “L’Altro diritto” hanno depositato il 19 novembre u.s. una </w:t>
      </w:r>
      <w:r w:rsidRPr="00AB1B34">
        <w:rPr>
          <w:rFonts w:asciiTheme="majorHAnsi" w:hAnsiTheme="majorHAnsi" w:cstheme="majorHAnsi"/>
          <w:b/>
          <w:bCs/>
          <w:sz w:val="22"/>
          <w:szCs w:val="22"/>
        </w:rPr>
        <w:t>denuncia alla Commissione Europea</w:t>
      </w:r>
      <w:r w:rsidRPr="00AB1B34">
        <w:rPr>
          <w:rFonts w:asciiTheme="majorHAnsi" w:hAnsiTheme="majorHAnsi" w:cstheme="majorHAnsi"/>
          <w:sz w:val="22"/>
          <w:szCs w:val="22"/>
        </w:rPr>
        <w:t> chiedendo che Bruxelles apra una </w:t>
      </w:r>
      <w:r w:rsidRPr="00AB1B34">
        <w:rPr>
          <w:rFonts w:asciiTheme="majorHAnsi" w:hAnsiTheme="majorHAnsi" w:cstheme="majorHAnsi"/>
          <w:b/>
          <w:bCs/>
          <w:sz w:val="22"/>
          <w:szCs w:val="22"/>
        </w:rPr>
        <w:t>procedura di infrazione</w:t>
      </w:r>
      <w:r w:rsidRPr="00AB1B34">
        <w:rPr>
          <w:rFonts w:asciiTheme="majorHAnsi" w:hAnsiTheme="majorHAnsi" w:cstheme="majorHAnsi"/>
          <w:sz w:val="22"/>
          <w:szCs w:val="22"/>
        </w:rPr>
        <w:t xml:space="preserve"> contro l’Italia in relazione al requisito di 10 anni di residenza in Italia per l’accesso al reddito di cittadinanza. (Cit. </w:t>
      </w:r>
      <w:hyperlink r:id="rId8" w:history="1">
        <w:r w:rsidRPr="00AB1B34">
          <w:rPr>
            <w:rStyle w:val="Collegamentoipertestuale"/>
            <w:rFonts w:asciiTheme="majorHAnsi" w:hAnsiTheme="majorHAnsi" w:cstheme="majorHAnsi"/>
            <w:sz w:val="22"/>
            <w:szCs w:val="22"/>
          </w:rPr>
          <w:t>https://www.asgi.it/wp-content/uploads/2020/11/La-Denuncia.pdf</w:t>
        </w:r>
      </w:hyperlink>
      <w:r w:rsidRPr="00AB1B34">
        <w:rPr>
          <w:rFonts w:asciiTheme="majorHAnsi" w:hAnsiTheme="majorHAnsi" w:cstheme="majorHAnsi"/>
          <w:sz w:val="22"/>
          <w:szCs w:val="22"/>
        </w:rPr>
        <w:t>;</w:t>
      </w:r>
    </w:p>
    <w:p w14:paraId="6A9EC890" w14:textId="77777777" w:rsidR="00F51339" w:rsidRPr="00AB1B34" w:rsidRDefault="00F51339" w:rsidP="00AB1B34">
      <w:pPr>
        <w:numPr>
          <w:ilvl w:val="0"/>
          <w:numId w:val="8"/>
        </w:numPr>
        <w:spacing w:line="276" w:lineRule="auto"/>
        <w:jc w:val="both"/>
        <w:rPr>
          <w:rFonts w:asciiTheme="majorHAnsi" w:hAnsiTheme="majorHAnsi" w:cstheme="majorHAnsi"/>
          <w:sz w:val="22"/>
          <w:szCs w:val="22"/>
        </w:rPr>
      </w:pPr>
      <w:r w:rsidRPr="00AB1B34">
        <w:rPr>
          <w:rFonts w:asciiTheme="majorHAnsi" w:hAnsiTheme="majorHAnsi" w:cstheme="majorHAnsi"/>
          <w:i/>
          <w:iCs/>
          <w:sz w:val="22"/>
          <w:szCs w:val="22"/>
        </w:rPr>
        <w:t>parallelamente, gli avvocati delle associazioni, con la collaborazione della Comunità di Sant’Egidio,</w:t>
      </w:r>
      <w:r w:rsidRPr="00AB1B34">
        <w:rPr>
          <w:rFonts w:asciiTheme="majorHAnsi" w:hAnsiTheme="majorHAnsi" w:cstheme="majorHAnsi"/>
          <w:b/>
          <w:bCs/>
          <w:i/>
          <w:iCs/>
          <w:sz w:val="22"/>
          <w:szCs w:val="22"/>
        </w:rPr>
        <w:t> hanno anche depositato un ricorso al Tribunale di Milano per conto di sette cittadine rumene</w:t>
      </w:r>
      <w:r w:rsidRPr="00AB1B34">
        <w:rPr>
          <w:rFonts w:asciiTheme="majorHAnsi" w:hAnsiTheme="majorHAnsi" w:cstheme="majorHAnsi"/>
          <w:i/>
          <w:iCs/>
          <w:sz w:val="22"/>
          <w:szCs w:val="22"/>
        </w:rPr>
        <w:t>, che, pur essendo da molti anni in Italia e in situazione di grave bisogno, si sono viste negare la prestazione per mancanza del requisito di residenza decennale. Gli avvocati hanno chiesto che il Tribunale investa della questione la Corte di Giustizia dell’Unione Europea.</w:t>
      </w:r>
    </w:p>
    <w:p w14:paraId="68812A28" w14:textId="77777777" w:rsidR="00F51339" w:rsidRPr="00AB1B34" w:rsidRDefault="00F51339" w:rsidP="00AB1B34">
      <w:pPr>
        <w:spacing w:line="276" w:lineRule="auto"/>
        <w:jc w:val="both"/>
        <w:rPr>
          <w:rFonts w:asciiTheme="majorHAnsi" w:hAnsiTheme="majorHAnsi" w:cstheme="majorHAnsi"/>
          <w:sz w:val="22"/>
          <w:szCs w:val="22"/>
        </w:rPr>
      </w:pPr>
      <w:proofErr w:type="gramStart"/>
      <w:r w:rsidRPr="00AB1B34">
        <w:rPr>
          <w:rFonts w:asciiTheme="majorHAnsi" w:hAnsiTheme="majorHAnsi" w:cstheme="majorHAnsi"/>
          <w:sz w:val="22"/>
          <w:szCs w:val="22"/>
        </w:rPr>
        <w:t>Inoltre</w:t>
      </w:r>
      <w:proofErr w:type="gramEnd"/>
      <w:r w:rsidRPr="00AB1B34">
        <w:rPr>
          <w:rFonts w:asciiTheme="majorHAnsi" w:hAnsiTheme="majorHAnsi" w:cstheme="majorHAnsi"/>
          <w:sz w:val="22"/>
          <w:szCs w:val="22"/>
        </w:rPr>
        <w:t xml:space="preserve"> tale requisito applicato ad altre misure analoghe ha visto importanti pronunce. Nel senso della irragionevolezza del requisito sotto entrambi i profili appena indicati depongono quindi numerosi precedenti della </w:t>
      </w:r>
      <w:proofErr w:type="gramStart"/>
      <w:r w:rsidRPr="00AB1B34">
        <w:rPr>
          <w:rFonts w:asciiTheme="majorHAnsi" w:hAnsiTheme="majorHAnsi" w:cstheme="majorHAnsi"/>
          <w:sz w:val="22"/>
          <w:szCs w:val="22"/>
        </w:rPr>
        <w:t>Corte Costituzionale</w:t>
      </w:r>
      <w:proofErr w:type="gramEnd"/>
      <w:r w:rsidRPr="00AB1B34">
        <w:rPr>
          <w:rFonts w:asciiTheme="majorHAnsi" w:hAnsiTheme="majorHAnsi" w:cstheme="majorHAnsi"/>
          <w:sz w:val="22"/>
          <w:szCs w:val="22"/>
        </w:rPr>
        <w:t>:</w:t>
      </w:r>
    </w:p>
    <w:p w14:paraId="3E3B254F" w14:textId="77777777" w:rsidR="00F51339" w:rsidRPr="00AB1B34" w:rsidRDefault="00F51339" w:rsidP="00AB1B34">
      <w:p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 xml:space="preserve">a) Sent. 166/18 riferita al requisito di 5 anni di residenza nella Regione per un contributo affitti (previsto per i soli stranieri), secondo la quale “non si può ravvisare alcuna ragionevole correlazione tra il soddisfacimento dei bisogni abitativi primari della persona che versi in condizioni di povertà e sia insediata nel territorio regionale, e la lunga protrazione nel tempo di tale radicamento territoriale”. </w:t>
      </w:r>
    </w:p>
    <w:p w14:paraId="7E132D4C" w14:textId="77777777" w:rsidR="00F51339" w:rsidRPr="00AB1B34" w:rsidRDefault="00F51339" w:rsidP="00AB1B34">
      <w:p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 xml:space="preserve">b) Sent. 106/18 riferita al requisito dei 10 anni di residenza nello Stato per i soli stranieri secondo la quale l’irragionevolezza e mancanza di proporzionalità del requisito si risolve “in una forma dissimulata di discriminazione nei confronti degli extracomunitari”. </w:t>
      </w:r>
    </w:p>
    <w:p w14:paraId="40BDC880" w14:textId="77777777" w:rsidR="00F51339" w:rsidRPr="00AB1B34" w:rsidRDefault="00F51339" w:rsidP="00AB1B34">
      <w:p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 xml:space="preserve">c) Sent. 107/18, riferita al titolo preferenziale di 15 anni per l’accesso all’asilo (previsto sia per italiani che stranieri) , ove si afferma che “La configurazione della residenza (o dell’occupazione) protratta come titolo di precedenza per </w:t>
      </w:r>
      <w:r w:rsidRPr="00AB1B34">
        <w:rPr>
          <w:rFonts w:asciiTheme="majorHAnsi" w:hAnsiTheme="majorHAnsi" w:cstheme="majorHAnsi"/>
          <w:sz w:val="22"/>
          <w:szCs w:val="22"/>
        </w:rPr>
        <w:lastRenderedPageBreak/>
        <w:t xml:space="preserve">l’accesso agli asili nido, anche per le famiglie economicamente deboli (ma lo stesso potrebbe dirsi per la residenza protratta come condizione di accesso a una prestazione come il RDC) si pone in frontale contrasto con la vocazione sociale di tali asili (come pure con la vocazione sociale di una prestazione di contrasto alla povertà; n.d.r.). Il relativo servizio risponde direttamente alla finalità di uguaglianza sostanziale fissata dall’art. 3, secondo comma, Cost.” </w:t>
      </w:r>
    </w:p>
    <w:p w14:paraId="4BC1B522" w14:textId="77777777" w:rsidR="00F51339" w:rsidRPr="00AB1B34" w:rsidRDefault="00F51339" w:rsidP="00AB1B34">
      <w:p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d) Sent. 168/14 secondo la quale il requisito di 8 anni di residenza nella Regione (previsto per italiani e stranieri) “determina un irragionevole discriminazione sia nei confronti dei cittadini dell’Unione…sia nei confronti dei cittadini di paesi terzi che siano soggiornanti di lungo periodo”</w:t>
      </w:r>
    </w:p>
    <w:p w14:paraId="614EC300" w14:textId="77777777" w:rsidR="00F51339" w:rsidRPr="00AB1B34" w:rsidRDefault="00F51339" w:rsidP="00AB1B34">
      <w:p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f) Sent. 172/13 relativa al requisito di 3 anni nella Provincia di Trento (previsto per italiani e stranieri) per un assegno di cura eccedente le prestazioni essenziali, ove si osserva che non si può in alcun modo presumere “che lo stato di bisogno di chi risieda (seppur regolarmente) nella Provincia da meno di tre anni sia minore rispetto a chi vi risieda da più anni (sentenze n. 133, n. 4 e n. 2 del 2013).Tale previsione realizza dunque una discriminazione, che contrasta con la funzione e la ratio normativa stessa, in violazione del limite di ragionevolezza imposto anche dal rispetto del principio di uguaglianza.</w:t>
      </w:r>
    </w:p>
    <w:p w14:paraId="259BB530" w14:textId="77777777" w:rsidR="00F51339" w:rsidRPr="00AB1B34" w:rsidRDefault="00F51339" w:rsidP="00AB1B34">
      <w:pPr>
        <w:spacing w:line="276" w:lineRule="auto"/>
        <w:jc w:val="both"/>
        <w:rPr>
          <w:rFonts w:asciiTheme="majorHAnsi" w:hAnsiTheme="majorHAnsi" w:cstheme="majorHAnsi"/>
          <w:b/>
          <w:bCs/>
          <w:sz w:val="22"/>
          <w:szCs w:val="22"/>
        </w:rPr>
      </w:pPr>
      <w:proofErr w:type="gramStart"/>
      <w:r w:rsidRPr="00AB1B34">
        <w:rPr>
          <w:rFonts w:asciiTheme="majorHAnsi" w:hAnsiTheme="majorHAnsi" w:cstheme="majorHAnsi"/>
          <w:b/>
          <w:bCs/>
          <w:sz w:val="22"/>
          <w:szCs w:val="22"/>
        </w:rPr>
        <w:t>INFINE</w:t>
      </w:r>
      <w:proofErr w:type="gramEnd"/>
      <w:r w:rsidRPr="00AB1B34">
        <w:rPr>
          <w:rFonts w:asciiTheme="majorHAnsi" w:hAnsiTheme="majorHAnsi" w:cstheme="majorHAnsi"/>
          <w:b/>
          <w:bCs/>
          <w:sz w:val="22"/>
          <w:szCs w:val="22"/>
        </w:rPr>
        <w:t xml:space="preserve"> SI SPECIFICA CHE</w:t>
      </w:r>
    </w:p>
    <w:p w14:paraId="6182B246" w14:textId="77777777" w:rsidR="00F51339" w:rsidRPr="00AB1B34" w:rsidRDefault="00F51339" w:rsidP="00AB1B34">
      <w:pPr>
        <w:numPr>
          <w:ilvl w:val="0"/>
          <w:numId w:val="8"/>
        </w:num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 xml:space="preserve">L’articolo 2, paragrafo 1.a) del Dl 4/19 prevede infatti fra i vari requisiti per avere accesso al </w:t>
      </w:r>
      <w:proofErr w:type="spellStart"/>
      <w:r w:rsidRPr="00AB1B34">
        <w:rPr>
          <w:rFonts w:asciiTheme="majorHAnsi" w:hAnsiTheme="majorHAnsi" w:cstheme="majorHAnsi"/>
          <w:sz w:val="22"/>
          <w:szCs w:val="22"/>
        </w:rPr>
        <w:t>Rdc</w:t>
      </w:r>
      <w:proofErr w:type="spellEnd"/>
      <w:r w:rsidRPr="00AB1B34">
        <w:rPr>
          <w:rFonts w:asciiTheme="majorHAnsi" w:hAnsiTheme="majorHAnsi" w:cstheme="majorHAnsi"/>
          <w:sz w:val="22"/>
          <w:szCs w:val="22"/>
        </w:rPr>
        <w:t>, due condizioni cumulative: la prima, di cittadinanza – italiana, di uno Stato Ue o di un paese extra-Ue ma limitata ai titolari di un «permesso di soggiorno Ue di lungo periodo» – e la seconda, di residenza in Italia «da almeno dieci anni, di cui gli ultimi due in modo continuativo». È questo secondo requisito che per le associazioni firmatarie della denuncia costituisce una grave violazione di varie norme Ue. La prima norma violata è l’</w:t>
      </w:r>
      <w:proofErr w:type="spellStart"/>
      <w:r w:rsidRPr="00AB1B34">
        <w:rPr>
          <w:rFonts w:asciiTheme="majorHAnsi" w:hAnsiTheme="majorHAnsi" w:cstheme="majorHAnsi"/>
          <w:sz w:val="22"/>
          <w:szCs w:val="22"/>
        </w:rPr>
        <w:t>articollo</w:t>
      </w:r>
      <w:proofErr w:type="spellEnd"/>
      <w:r w:rsidRPr="00AB1B34">
        <w:rPr>
          <w:rFonts w:asciiTheme="majorHAnsi" w:hAnsiTheme="majorHAnsi" w:cstheme="majorHAnsi"/>
          <w:sz w:val="22"/>
          <w:szCs w:val="22"/>
        </w:rPr>
        <w:t xml:space="preserve"> 45 del Trattato Ue che vieta qualsiasi discriminazione basata sulla nazionalità fra lavoratori nazionali e lavoratori di altri Stati membri. Nella sua giurisprudenza la Corte di giustizia ha costantemente equiparato una condizione di residenza a una discriminazione indiretta sulla base della nazionalità in quanto «il più delle volte i non residenti sono cittadini di altri Stati membri» (C-224/97, punto 14). Nel caso delle prestazioni sociali come il </w:t>
      </w:r>
      <w:proofErr w:type="spellStart"/>
      <w:r w:rsidRPr="00AB1B34">
        <w:rPr>
          <w:rFonts w:asciiTheme="majorHAnsi" w:hAnsiTheme="majorHAnsi" w:cstheme="majorHAnsi"/>
          <w:sz w:val="22"/>
          <w:szCs w:val="22"/>
        </w:rPr>
        <w:t>Rdc</w:t>
      </w:r>
      <w:proofErr w:type="spellEnd"/>
      <w:r w:rsidRPr="00AB1B34">
        <w:rPr>
          <w:rFonts w:asciiTheme="majorHAnsi" w:hAnsiTheme="majorHAnsi" w:cstheme="majorHAnsi"/>
          <w:sz w:val="22"/>
          <w:szCs w:val="22"/>
        </w:rPr>
        <w:t xml:space="preserve"> i giudici europei hanno ritenuto che un requisito di residenza «semplice», senza durata minima, possa essere giustificato dall’esigenza di controllare la situazione professionale, di reddito e patrimoniale dei beneficiari (C-406/04, punto 41). Non può invece in alcun modo essere giustificata la condizione aggiuntiva consistente nella durata minima di dieci anni della residenza in Italia (C-90/97, punto 30), dato che «il lavoratore migrante, con le imposte e contributi che versa in relazione all’attività retribuita che esercita, contribuisce anche al finanziamento delle politiche sociali dello Stato membro di accoglienza» (C-342/09, punto 66). Da questo principio di equità fiscale consegue che i lavoratori Ue acquisiscono il diritto alla parità di trattamento fin dal primo accesso al mercato del lavoro italiano;</w:t>
      </w:r>
    </w:p>
    <w:p w14:paraId="6DFE1E57" w14:textId="77777777" w:rsidR="00F51339" w:rsidRPr="00AB1B34" w:rsidRDefault="00F51339" w:rsidP="00AB1B34">
      <w:pPr>
        <w:spacing w:line="276" w:lineRule="auto"/>
        <w:jc w:val="both"/>
        <w:rPr>
          <w:rFonts w:asciiTheme="majorHAnsi" w:hAnsiTheme="majorHAnsi" w:cstheme="majorHAnsi"/>
          <w:sz w:val="22"/>
          <w:szCs w:val="22"/>
        </w:rPr>
      </w:pPr>
    </w:p>
    <w:p w14:paraId="2766FAC7" w14:textId="3A8BC040" w:rsidR="00F51339" w:rsidRPr="00AB1B34" w:rsidRDefault="00F51339" w:rsidP="00AB1B34">
      <w:pPr>
        <w:numPr>
          <w:ilvl w:val="0"/>
          <w:numId w:val="8"/>
        </w:num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 xml:space="preserve">ciascun richiedente al quale è stato notificato un rifiuto o una revoca del </w:t>
      </w:r>
      <w:proofErr w:type="spellStart"/>
      <w:r w:rsidRPr="00AB1B34">
        <w:rPr>
          <w:rFonts w:asciiTheme="majorHAnsi" w:hAnsiTheme="majorHAnsi" w:cstheme="majorHAnsi"/>
          <w:sz w:val="22"/>
          <w:szCs w:val="22"/>
        </w:rPr>
        <w:t>Rdc</w:t>
      </w:r>
      <w:proofErr w:type="spellEnd"/>
      <w:r w:rsidRPr="00AB1B34">
        <w:rPr>
          <w:rFonts w:asciiTheme="majorHAnsi" w:hAnsiTheme="majorHAnsi" w:cstheme="majorHAnsi"/>
          <w:sz w:val="22"/>
          <w:szCs w:val="22"/>
        </w:rPr>
        <w:t xml:space="preserve"> potrà impugnare tale atto dinanzi al Tribunale del lavoro competente per territorio;</w:t>
      </w:r>
    </w:p>
    <w:p w14:paraId="3904D736" w14:textId="77777777" w:rsidR="00640BEF" w:rsidRDefault="00640BEF" w:rsidP="00AB1B34">
      <w:pPr>
        <w:spacing w:line="276" w:lineRule="auto"/>
        <w:jc w:val="both"/>
        <w:rPr>
          <w:rFonts w:asciiTheme="majorHAnsi" w:hAnsiTheme="majorHAnsi" w:cstheme="majorHAnsi"/>
          <w:sz w:val="22"/>
          <w:szCs w:val="22"/>
        </w:rPr>
      </w:pPr>
    </w:p>
    <w:p w14:paraId="34AF785D" w14:textId="29B2521C" w:rsidR="00F51339" w:rsidRPr="00AB1B34" w:rsidRDefault="00F51339" w:rsidP="00AB1B34">
      <w:p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Pensiamo che questa questione sia urgente alla luce delle revoche emesse dall’INPS con la conseguente richiesta di restituzione economica sulla base delle verifiche su piattaforma GEPI gestita dagli uffici comunali. Tali procedimenti sono iniqui e insostenibili per tantissime e tantissimi cittadini che da oltre dieci anni vivono nei nostri comuni e chiedono solo pari diritti e dignità.</w:t>
      </w:r>
    </w:p>
    <w:p w14:paraId="4AA959FB" w14:textId="77777777" w:rsidR="00F51339" w:rsidRPr="00AB1B34" w:rsidRDefault="00F51339" w:rsidP="00AB1B34">
      <w:pPr>
        <w:spacing w:line="276" w:lineRule="auto"/>
        <w:jc w:val="both"/>
        <w:rPr>
          <w:rFonts w:asciiTheme="majorHAnsi" w:hAnsiTheme="majorHAnsi" w:cstheme="majorHAnsi"/>
          <w:b/>
          <w:bCs/>
          <w:sz w:val="22"/>
          <w:szCs w:val="22"/>
        </w:rPr>
      </w:pPr>
      <w:r w:rsidRPr="00AB1B34">
        <w:rPr>
          <w:rFonts w:asciiTheme="majorHAnsi" w:hAnsiTheme="majorHAnsi" w:cstheme="majorHAnsi"/>
          <w:b/>
          <w:bCs/>
          <w:sz w:val="22"/>
          <w:szCs w:val="22"/>
        </w:rPr>
        <w:t>Vi chiediamo quindi di convocare urgentemente un tavolo tecnico politico per rispondere in modo istituzionale e sociale alle esigenze dei nostri concittadini.</w:t>
      </w:r>
    </w:p>
    <w:p w14:paraId="5DEDD5FD" w14:textId="77777777" w:rsidR="00F51339" w:rsidRPr="00AB1B34" w:rsidRDefault="00F51339" w:rsidP="00AB1B34">
      <w:pPr>
        <w:spacing w:line="276" w:lineRule="auto"/>
        <w:jc w:val="both"/>
        <w:rPr>
          <w:rFonts w:asciiTheme="majorHAnsi" w:hAnsiTheme="majorHAnsi" w:cstheme="majorHAnsi"/>
          <w:b/>
          <w:bCs/>
          <w:sz w:val="22"/>
          <w:szCs w:val="22"/>
        </w:rPr>
      </w:pPr>
    </w:p>
    <w:p w14:paraId="083722A8" w14:textId="0D966C92" w:rsidR="00F51339" w:rsidRPr="00AB1B34" w:rsidRDefault="00640BEF" w:rsidP="00AB1B34">
      <w:pPr>
        <w:spacing w:line="276" w:lineRule="auto"/>
        <w:jc w:val="both"/>
        <w:rPr>
          <w:rFonts w:asciiTheme="majorHAnsi" w:hAnsiTheme="majorHAnsi" w:cstheme="majorHAnsi"/>
          <w:b/>
          <w:bCs/>
          <w:sz w:val="22"/>
          <w:szCs w:val="22"/>
        </w:rPr>
      </w:pPr>
      <w:r>
        <w:rPr>
          <w:rFonts w:asciiTheme="majorHAnsi" w:hAnsiTheme="majorHAnsi" w:cstheme="majorHAnsi"/>
          <w:b/>
          <w:bCs/>
          <w:sz w:val="22"/>
          <w:szCs w:val="22"/>
        </w:rPr>
        <w:t>Luogo e data</w:t>
      </w:r>
    </w:p>
    <w:p w14:paraId="0815AB91" w14:textId="768C489B" w:rsidR="005476B3" w:rsidRPr="00AB1B34" w:rsidRDefault="005476B3" w:rsidP="00640BEF">
      <w:pPr>
        <w:spacing w:line="276" w:lineRule="auto"/>
        <w:jc w:val="both"/>
        <w:rPr>
          <w:rFonts w:asciiTheme="majorHAnsi" w:hAnsiTheme="majorHAnsi" w:cstheme="majorHAnsi"/>
          <w:sz w:val="22"/>
          <w:szCs w:val="22"/>
        </w:rPr>
      </w:pPr>
      <w:r w:rsidRPr="00AB1B34">
        <w:rPr>
          <w:rFonts w:asciiTheme="majorHAnsi" w:hAnsiTheme="majorHAnsi" w:cstheme="majorHAnsi"/>
          <w:sz w:val="22"/>
          <w:szCs w:val="22"/>
        </w:rPr>
        <w:t xml:space="preserve">Firma </w:t>
      </w:r>
    </w:p>
    <w:sectPr w:rsidR="005476B3" w:rsidRPr="00AB1B34" w:rsidSect="00CC527B">
      <w:headerReference w:type="default" r:id="rId9"/>
      <w:footerReference w:type="default" r:id="rId10"/>
      <w:type w:val="continuous"/>
      <w:pgSz w:w="11906" w:h="16838"/>
      <w:pgMar w:top="360" w:right="746" w:bottom="360" w:left="900" w:header="345" w:footer="2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C016" w14:textId="77777777" w:rsidR="00FC63D4" w:rsidRDefault="00FC63D4">
      <w:r>
        <w:separator/>
      </w:r>
    </w:p>
  </w:endnote>
  <w:endnote w:type="continuationSeparator" w:id="0">
    <w:p w14:paraId="7165C7A8" w14:textId="77777777" w:rsidR="00FC63D4" w:rsidRDefault="00FC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5FEB" w14:textId="4507FAB1" w:rsidR="00883D86" w:rsidRDefault="00883D86">
    <w:pPr>
      <w:pBdr>
        <w:top w:val="nil"/>
        <w:left w:val="nil"/>
        <w:bottom w:val="nil"/>
        <w:right w:val="nil"/>
        <w:between w:val="nil"/>
      </w:pBdr>
      <w:rPr>
        <w:rFonts w:ascii="Garamond" w:eastAsia="Garamond" w:hAnsi="Garamond" w:cs="Garamond"/>
        <w:color w:val="000000"/>
        <w:sz w:val="14"/>
        <w:szCs w:val="14"/>
      </w:rPr>
    </w:pPr>
  </w:p>
  <w:p w14:paraId="46E09E2D" w14:textId="77777777" w:rsidR="00883D86" w:rsidRDefault="00EC1BCD">
    <w:pPr>
      <w:pBdr>
        <w:top w:val="nil"/>
        <w:left w:val="nil"/>
        <w:bottom w:val="nil"/>
        <w:right w:val="nil"/>
        <w:between w:val="nil"/>
      </w:pBdr>
      <w:rPr>
        <w:rFonts w:ascii="Garamond" w:eastAsia="Garamond" w:hAnsi="Garamond" w:cs="Garamond"/>
        <w:color w:val="000000"/>
        <w:sz w:val="14"/>
        <w:szCs w:val="14"/>
      </w:rPr>
    </w:pPr>
    <w:r>
      <w:rPr>
        <w:rFonts w:ascii="Garamond" w:eastAsia="Garamond" w:hAnsi="Garamond" w:cs="Garamond"/>
        <w:color w:val="000000"/>
        <w:sz w:val="14"/>
        <w:szCs w:val="14"/>
      </w:rPr>
      <w:t xml:space="preserve"> </w:t>
    </w:r>
  </w:p>
  <w:p w14:paraId="3220FC17" w14:textId="77777777" w:rsidR="00883D86" w:rsidRDefault="00883D86">
    <w:pPr>
      <w:pBdr>
        <w:top w:val="nil"/>
        <w:left w:val="nil"/>
        <w:bottom w:val="nil"/>
        <w:right w:val="nil"/>
        <w:between w:val="nil"/>
      </w:pBdr>
      <w:rPr>
        <w:rFonts w:ascii="Garamond" w:eastAsia="Garamond" w:hAnsi="Garamond" w:cs="Garamond"/>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020E" w14:textId="77777777" w:rsidR="00FC63D4" w:rsidRDefault="00FC63D4">
      <w:r>
        <w:separator/>
      </w:r>
    </w:p>
  </w:footnote>
  <w:footnote w:type="continuationSeparator" w:id="0">
    <w:p w14:paraId="469D39AA" w14:textId="77777777" w:rsidR="00FC63D4" w:rsidRDefault="00FC6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4ABB" w14:textId="5EFF178E" w:rsidR="009B1412" w:rsidRPr="009B1412" w:rsidRDefault="009B1412" w:rsidP="009B1412">
    <w:pPr>
      <w:pBdr>
        <w:top w:val="nil"/>
        <w:left w:val="nil"/>
        <w:bottom w:val="nil"/>
        <w:right w:val="nil"/>
        <w:between w:val="nil"/>
      </w:pBdr>
      <w:tabs>
        <w:tab w:val="center" w:pos="4819"/>
        <w:tab w:val="right" w:pos="9638"/>
      </w:tabs>
      <w:rPr>
        <w:rFonts w:asciiTheme="majorHAnsi" w:hAnsiTheme="majorHAnsi" w:cstheme="majorHAnsi"/>
        <w:color w:val="000000"/>
      </w:rPr>
    </w:pPr>
  </w:p>
  <w:p w14:paraId="2986D4BA" w14:textId="41BB2246" w:rsidR="009B1412" w:rsidRDefault="00154BDB" w:rsidP="009B1412">
    <w:pPr>
      <w:pBdr>
        <w:top w:val="nil"/>
        <w:left w:val="nil"/>
        <w:bottom w:val="nil"/>
        <w:right w:val="nil"/>
        <w:between w:val="nil"/>
      </w:pBdr>
      <w:tabs>
        <w:tab w:val="center" w:pos="4819"/>
        <w:tab w:val="right" w:pos="9638"/>
      </w:tabs>
      <w:rPr>
        <w:rFonts w:asciiTheme="majorHAnsi" w:hAnsiTheme="majorHAnsi" w:cstheme="majorHAnsi"/>
        <w:b/>
        <w:bCs/>
        <w:color w:val="000000"/>
      </w:rPr>
    </w:pPr>
    <w:r w:rsidRPr="009B1412">
      <w:rPr>
        <w:rFonts w:asciiTheme="majorHAnsi" w:hAnsiTheme="majorHAnsi" w:cstheme="majorHAnsi"/>
        <w:b/>
        <w:bCs/>
        <w:noProof/>
        <w:color w:val="000000"/>
      </w:rPr>
      <w:drawing>
        <wp:anchor distT="0" distB="0" distL="0" distR="0" simplePos="0" relativeHeight="251662336" behindDoc="0" locked="0" layoutInCell="1" hidden="0" allowOverlap="1" wp14:anchorId="461C8B8D" wp14:editId="418B4CEB">
          <wp:simplePos x="0" y="0"/>
          <wp:positionH relativeFrom="margin">
            <wp:posOffset>3333750</wp:posOffset>
          </wp:positionH>
          <wp:positionV relativeFrom="paragraph">
            <wp:posOffset>45085</wp:posOffset>
          </wp:positionV>
          <wp:extent cx="1121813" cy="621665"/>
          <wp:effectExtent l="0" t="0" r="2540" b="6985"/>
          <wp:wrapNone/>
          <wp:docPr id="13" name="image2.png" descr="Immagine che contiene disegnand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disegnando&#10;&#10;Descrizione generata automaticamente"/>
                  <pic:cNvPicPr preferRelativeResize="0"/>
                </pic:nvPicPr>
                <pic:blipFill>
                  <a:blip r:embed="rId1"/>
                  <a:srcRect/>
                  <a:stretch>
                    <a:fillRect/>
                  </a:stretch>
                </pic:blipFill>
                <pic:spPr>
                  <a:xfrm>
                    <a:off x="0" y="0"/>
                    <a:ext cx="1143537" cy="633703"/>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color w:val="000000"/>
      </w:rPr>
      <w:drawing>
        <wp:anchor distT="0" distB="0" distL="114300" distR="114300" simplePos="0" relativeHeight="251663360" behindDoc="0" locked="0" layoutInCell="1" allowOverlap="1" wp14:anchorId="3BFC120B" wp14:editId="531C2D99">
          <wp:simplePos x="0" y="0"/>
          <wp:positionH relativeFrom="margin">
            <wp:align>right</wp:align>
          </wp:positionH>
          <wp:positionV relativeFrom="paragraph">
            <wp:posOffset>83185</wp:posOffset>
          </wp:positionV>
          <wp:extent cx="1806368" cy="565150"/>
          <wp:effectExtent l="0" t="0" r="3810" b="635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368"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412" w:rsidRPr="009B1412">
      <w:rPr>
        <w:rFonts w:asciiTheme="majorHAnsi" w:hAnsiTheme="majorHAnsi" w:cstheme="majorHAnsi"/>
        <w:b/>
        <w:bCs/>
        <w:color w:val="000000"/>
      </w:rPr>
      <w:t xml:space="preserve">SPORTELLO DIRITI </w:t>
    </w:r>
  </w:p>
  <w:p w14:paraId="5E7A32C8" w14:textId="41D34EC9" w:rsidR="009B1412" w:rsidRPr="009B1412" w:rsidRDefault="009B1412" w:rsidP="009B1412">
    <w:pPr>
      <w:pBdr>
        <w:top w:val="nil"/>
        <w:left w:val="nil"/>
        <w:bottom w:val="nil"/>
        <w:right w:val="nil"/>
        <w:between w:val="nil"/>
      </w:pBdr>
      <w:tabs>
        <w:tab w:val="center" w:pos="4819"/>
        <w:tab w:val="right" w:pos="9638"/>
      </w:tabs>
      <w:rPr>
        <w:rFonts w:asciiTheme="majorHAnsi" w:hAnsiTheme="majorHAnsi" w:cstheme="majorHAnsi"/>
        <w:color w:val="000000"/>
      </w:rPr>
    </w:pPr>
    <w:proofErr w:type="spellStart"/>
    <w:r w:rsidRPr="009B1412">
      <w:rPr>
        <w:rFonts w:asciiTheme="majorHAnsi" w:hAnsiTheme="majorHAnsi" w:cstheme="majorHAnsi"/>
        <w:color w:val="000000"/>
      </w:rPr>
      <w:t>Ass</w:t>
    </w:r>
    <w:proofErr w:type="spellEnd"/>
    <w:r w:rsidRPr="009B1412">
      <w:rPr>
        <w:rFonts w:asciiTheme="majorHAnsi" w:hAnsiTheme="majorHAnsi" w:cstheme="majorHAnsi"/>
        <w:color w:val="000000"/>
      </w:rPr>
      <w:t xml:space="preserve">. </w:t>
    </w:r>
    <w:proofErr w:type="spellStart"/>
    <w:r w:rsidRPr="009B1412">
      <w:rPr>
        <w:rFonts w:asciiTheme="majorHAnsi" w:hAnsiTheme="majorHAnsi" w:cstheme="majorHAnsi"/>
        <w:b/>
        <w:bCs/>
        <w:color w:val="000000"/>
      </w:rPr>
      <w:t>YaBasta</w:t>
    </w:r>
    <w:proofErr w:type="spellEnd"/>
    <w:r w:rsidRPr="009B1412">
      <w:rPr>
        <w:rFonts w:asciiTheme="majorHAnsi" w:hAnsiTheme="majorHAnsi" w:cstheme="majorHAnsi"/>
        <w:b/>
        <w:bCs/>
        <w:color w:val="000000"/>
      </w:rPr>
      <w:t>!</w:t>
    </w:r>
    <w:r w:rsidRPr="009B1412">
      <w:rPr>
        <w:rFonts w:asciiTheme="majorHAnsi" w:hAnsiTheme="majorHAnsi" w:cstheme="majorHAnsi"/>
        <w:color w:val="000000"/>
      </w:rPr>
      <w:t xml:space="preserve"> e </w:t>
    </w:r>
    <w:r w:rsidRPr="009B1412">
      <w:rPr>
        <w:rFonts w:asciiTheme="majorHAnsi" w:hAnsiTheme="majorHAnsi" w:cstheme="majorHAnsi"/>
        <w:b/>
        <w:bCs/>
        <w:color w:val="000000"/>
      </w:rPr>
      <w:t>Nova Koinè</w:t>
    </w:r>
  </w:p>
  <w:p w14:paraId="1C8EDB31" w14:textId="6F12F3C3" w:rsidR="009B1412" w:rsidRPr="009B1412" w:rsidRDefault="009B1412" w:rsidP="009B1412">
    <w:pPr>
      <w:pBdr>
        <w:top w:val="nil"/>
        <w:left w:val="nil"/>
        <w:bottom w:val="nil"/>
        <w:right w:val="nil"/>
        <w:between w:val="nil"/>
      </w:pBdr>
      <w:tabs>
        <w:tab w:val="center" w:pos="4819"/>
        <w:tab w:val="right" w:pos="9638"/>
      </w:tabs>
      <w:rPr>
        <w:rFonts w:asciiTheme="majorHAnsi" w:hAnsiTheme="majorHAnsi" w:cstheme="majorHAnsi"/>
        <w:color w:val="000000"/>
      </w:rPr>
    </w:pPr>
    <w:r w:rsidRPr="009B1412">
      <w:rPr>
        <w:rFonts w:asciiTheme="majorHAnsi" w:hAnsiTheme="majorHAnsi" w:cstheme="majorHAnsi"/>
        <w:color w:val="000000"/>
      </w:rPr>
      <w:t>Scisciano, Corso Umberto 51</w:t>
    </w:r>
  </w:p>
  <w:p w14:paraId="32815C67" w14:textId="1980613C" w:rsidR="009B1412" w:rsidRPr="009B1412" w:rsidRDefault="009B1412" w:rsidP="009B1412">
    <w:pPr>
      <w:pBdr>
        <w:top w:val="nil"/>
        <w:left w:val="nil"/>
        <w:bottom w:val="nil"/>
        <w:right w:val="nil"/>
        <w:between w:val="nil"/>
      </w:pBdr>
      <w:tabs>
        <w:tab w:val="center" w:pos="4819"/>
        <w:tab w:val="right" w:pos="9638"/>
      </w:tabs>
      <w:rPr>
        <w:rFonts w:asciiTheme="majorHAnsi" w:hAnsiTheme="majorHAnsi" w:cstheme="majorHAnsi"/>
        <w:color w:val="000000"/>
      </w:rPr>
    </w:pPr>
    <w:r w:rsidRPr="009B1412">
      <w:rPr>
        <w:rFonts w:asciiTheme="majorHAnsi" w:hAnsiTheme="majorHAnsi" w:cstheme="majorHAnsi"/>
        <w:b/>
        <w:bCs/>
        <w:color w:val="000000"/>
      </w:rPr>
      <w:t>Tel.</w:t>
    </w:r>
    <w:r w:rsidRPr="009B1412">
      <w:rPr>
        <w:rFonts w:asciiTheme="majorHAnsi" w:hAnsiTheme="majorHAnsi" w:cstheme="majorHAnsi"/>
        <w:color w:val="000000"/>
      </w:rPr>
      <w:t>3791724040</w:t>
    </w:r>
  </w:p>
  <w:p w14:paraId="471C3145" w14:textId="73400038" w:rsidR="009B1412" w:rsidRPr="009B1412" w:rsidRDefault="009B1412" w:rsidP="009B1412">
    <w:pPr>
      <w:pBdr>
        <w:top w:val="nil"/>
        <w:left w:val="nil"/>
        <w:bottom w:val="nil"/>
        <w:right w:val="nil"/>
        <w:between w:val="nil"/>
      </w:pBdr>
      <w:tabs>
        <w:tab w:val="center" w:pos="4819"/>
        <w:tab w:val="right" w:pos="9638"/>
      </w:tabs>
      <w:rPr>
        <w:rFonts w:asciiTheme="majorHAnsi" w:hAnsiTheme="majorHAnsi" w:cstheme="majorHAnsi"/>
        <w:color w:val="000000"/>
        <w:lang w:val="fr-FR"/>
      </w:rPr>
    </w:pPr>
    <w:proofErr w:type="gramStart"/>
    <w:r w:rsidRPr="009B1412">
      <w:rPr>
        <w:rFonts w:asciiTheme="majorHAnsi" w:hAnsiTheme="majorHAnsi" w:cstheme="majorHAnsi"/>
        <w:b/>
        <w:bCs/>
        <w:color w:val="000000"/>
        <w:lang w:val="fr-FR"/>
      </w:rPr>
      <w:t>Mail:</w:t>
    </w:r>
    <w:proofErr w:type="gramEnd"/>
    <w:r w:rsidRPr="009B1412">
      <w:rPr>
        <w:rFonts w:asciiTheme="majorHAnsi" w:hAnsiTheme="majorHAnsi" w:cstheme="majorHAnsi"/>
        <w:color w:val="000000"/>
        <w:lang w:val="fr-FR"/>
      </w:rPr>
      <w:t xml:space="preserve"> </w:t>
    </w:r>
    <w:hyperlink r:id="rId3" w:history="1">
      <w:r w:rsidRPr="009B1412">
        <w:rPr>
          <w:rStyle w:val="Collegamentoipertestuale"/>
          <w:rFonts w:asciiTheme="majorHAnsi" w:hAnsiTheme="majorHAnsi" w:cstheme="majorHAnsi"/>
          <w:lang w:val="fr-FR"/>
        </w:rPr>
        <w:t>restiamoumani.yabasta@gmail.com</w:t>
      </w:r>
    </w:hyperlink>
  </w:p>
  <w:p w14:paraId="7038C1F7" w14:textId="61FBEDDF" w:rsidR="009B1412" w:rsidRPr="009B1412" w:rsidRDefault="009B1412" w:rsidP="009B1412">
    <w:pPr>
      <w:pBdr>
        <w:top w:val="nil"/>
        <w:left w:val="nil"/>
        <w:bottom w:val="nil"/>
        <w:right w:val="nil"/>
        <w:between w:val="nil"/>
      </w:pBdr>
      <w:tabs>
        <w:tab w:val="center" w:pos="4819"/>
        <w:tab w:val="right" w:pos="9638"/>
      </w:tabs>
      <w:rPr>
        <w:rFonts w:asciiTheme="majorHAnsi" w:hAnsiTheme="majorHAnsi" w:cstheme="majorHAnsi"/>
        <w:color w:val="000000"/>
        <w:lang w:val="fr-FR"/>
      </w:rPr>
    </w:pPr>
    <w:proofErr w:type="gramStart"/>
    <w:r w:rsidRPr="009B1412">
      <w:rPr>
        <w:rFonts w:asciiTheme="majorHAnsi" w:hAnsiTheme="majorHAnsi" w:cstheme="majorHAnsi"/>
        <w:b/>
        <w:bCs/>
        <w:color w:val="000000"/>
        <w:lang w:val="fr-FR"/>
      </w:rPr>
      <w:t>Pec</w:t>
    </w:r>
    <w:r w:rsidRPr="009B1412">
      <w:rPr>
        <w:rFonts w:asciiTheme="majorHAnsi" w:hAnsiTheme="majorHAnsi" w:cstheme="majorHAnsi"/>
        <w:color w:val="000000"/>
        <w:lang w:val="fr-FR"/>
      </w:rPr>
      <w:t>:</w:t>
    </w:r>
    <w:proofErr w:type="gramEnd"/>
    <w:r w:rsidRPr="009B1412">
      <w:rPr>
        <w:rFonts w:asciiTheme="majorHAnsi" w:hAnsiTheme="majorHAnsi" w:cstheme="majorHAnsi"/>
        <w:color w:val="000000"/>
        <w:lang w:val="fr-FR"/>
      </w:rPr>
      <w:t xml:space="preserve"> restiamo_umani@pec.it</w:t>
    </w:r>
  </w:p>
  <w:p w14:paraId="29661CE4" w14:textId="58149AE3" w:rsidR="00883D86" w:rsidRDefault="00EC1BCD">
    <w:pPr>
      <w:pBdr>
        <w:top w:val="nil"/>
        <w:left w:val="nil"/>
        <w:bottom w:val="nil"/>
        <w:right w:val="nil"/>
        <w:between w:val="nil"/>
      </w:pBdr>
      <w:tabs>
        <w:tab w:val="center" w:pos="4819"/>
        <w:tab w:val="right" w:pos="9638"/>
      </w:tabs>
      <w:rPr>
        <w:color w:val="000000"/>
        <w:sz w:val="24"/>
        <w:szCs w:val="24"/>
      </w:rPr>
    </w:pPr>
    <w:r>
      <w:rPr>
        <w:noProof/>
      </w:rPr>
      <mc:AlternateContent>
        <mc:Choice Requires="wpg">
          <w:drawing>
            <wp:anchor distT="0" distB="0" distL="114300" distR="114300" simplePos="0" relativeHeight="251659264" behindDoc="0" locked="0" layoutInCell="1" hidden="0" allowOverlap="1" wp14:anchorId="1D19BC60" wp14:editId="7F5C7AA0">
              <wp:simplePos x="0" y="0"/>
              <wp:positionH relativeFrom="column">
                <wp:posOffset>12701</wp:posOffset>
              </wp:positionH>
              <wp:positionV relativeFrom="paragraph">
                <wp:posOffset>0</wp:posOffset>
              </wp:positionV>
              <wp:extent cx="6858000" cy="294640"/>
              <wp:effectExtent l="0" t="0" r="0" b="0"/>
              <wp:wrapNone/>
              <wp:docPr id="2" name="Gruppo 2"/>
              <wp:cNvGraphicFramePr/>
              <a:graphic xmlns:a="http://schemas.openxmlformats.org/drawingml/2006/main">
                <a:graphicData uri="http://schemas.microsoft.com/office/word/2010/wordprocessingGroup">
                  <wpg:wgp>
                    <wpg:cNvGrpSpPr/>
                    <wpg:grpSpPr>
                      <a:xfrm>
                        <a:off x="0" y="0"/>
                        <a:ext cx="6858000" cy="294640"/>
                        <a:chOff x="1917000" y="3632680"/>
                        <a:chExt cx="6858000" cy="294640"/>
                      </a:xfrm>
                    </wpg:grpSpPr>
                    <wpg:grpSp>
                      <wpg:cNvPr id="1" name="Gruppo 1"/>
                      <wpg:cNvGrpSpPr/>
                      <wpg:grpSpPr>
                        <a:xfrm>
                          <a:off x="1917000" y="3632680"/>
                          <a:ext cx="6858000" cy="294640"/>
                          <a:chOff x="540" y="1876"/>
                          <a:chExt cx="10800" cy="464"/>
                        </a:xfrm>
                      </wpg:grpSpPr>
                      <wps:wsp>
                        <wps:cNvPr id="4" name="Rettangolo 4"/>
                        <wps:cNvSpPr/>
                        <wps:spPr>
                          <a:xfrm>
                            <a:off x="540" y="1876"/>
                            <a:ext cx="10800" cy="450"/>
                          </a:xfrm>
                          <a:prstGeom prst="rect">
                            <a:avLst/>
                          </a:prstGeom>
                          <a:noFill/>
                          <a:ln>
                            <a:noFill/>
                          </a:ln>
                        </wps:spPr>
                        <wps:txbx>
                          <w:txbxContent>
                            <w:p w14:paraId="749AB8CB" w14:textId="77777777" w:rsidR="00883D86" w:rsidRDefault="00883D86">
                              <w:pPr>
                                <w:textDirection w:val="btLr"/>
                              </w:pPr>
                            </w:p>
                          </w:txbxContent>
                        </wps:txbx>
                        <wps:bodyPr spcFirstLastPara="1" wrap="square" lIns="91425" tIns="91425" rIns="91425" bIns="91425" anchor="ctr" anchorCtr="0">
                          <a:noAutofit/>
                        </wps:bodyPr>
                      </wps:wsp>
                      <wps:wsp>
                        <wps:cNvPr id="5" name="Rettangolo 5"/>
                        <wps:cNvSpPr/>
                        <wps:spPr>
                          <a:xfrm>
                            <a:off x="540" y="1876"/>
                            <a:ext cx="10800" cy="464"/>
                          </a:xfrm>
                          <a:prstGeom prst="rect">
                            <a:avLst/>
                          </a:prstGeom>
                          <a:noFill/>
                          <a:ln>
                            <a:noFill/>
                          </a:ln>
                        </wps:spPr>
                        <wps:txbx>
                          <w:txbxContent>
                            <w:p w14:paraId="794E687D" w14:textId="77777777" w:rsidR="00883D86" w:rsidRDefault="00883D86">
                              <w:pPr>
                                <w:textDirection w:val="btLr"/>
                              </w:pPr>
                            </w:p>
                          </w:txbxContent>
                        </wps:txbx>
                        <wps:bodyPr spcFirstLastPara="1" wrap="square" lIns="91425" tIns="91425" rIns="91425" bIns="91425" anchor="ctr" anchorCtr="0">
                          <a:noAutofit/>
                        </wps:bodyPr>
                      </wps:wsp>
                      <wps:wsp>
                        <wps:cNvPr id="6" name="Connettore 2 6"/>
                        <wps:cNvCnPr/>
                        <wps:spPr>
                          <a:xfrm>
                            <a:off x="540" y="1988"/>
                            <a:ext cx="10252" cy="1"/>
                          </a:xfrm>
                          <a:prstGeom prst="straightConnector1">
                            <a:avLst/>
                          </a:prstGeom>
                          <a:noFill/>
                          <a:ln w="9525" cap="flat" cmpd="sng">
                            <a:solidFill>
                              <a:srgbClr val="000000"/>
                            </a:solidFill>
                            <a:prstDash val="solid"/>
                            <a:miter lim="800000"/>
                            <a:headEnd type="none" w="med" len="med"/>
                            <a:tailEnd type="none" w="med" len="med"/>
                          </a:ln>
                        </wps:spPr>
                        <wps:bodyPr/>
                      </wps:wsp>
                    </wpg:grpSp>
                  </wpg:wgp>
                </a:graphicData>
              </a:graphic>
            </wp:anchor>
          </w:drawing>
        </mc:Choice>
        <mc:Fallback>
          <w:pict>
            <v:group w14:anchorId="1D19BC60" id="Gruppo 2" o:spid="_x0000_s1026" style="position:absolute;margin-left:1pt;margin-top:0;width:540pt;height:23.2pt;z-index:251659264" coordorigin="19170,36326" coordsize="68580,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">
              <v:group id="Gruppo 1" o:spid="_x0000_s1027" style="position:absolute;left:19170;top:36326;width:68580;height:2947" coordorigin="540,1876" coordsize="1080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4" o:spid="_x0000_s1028" style="position:absolute;left:540;top:1876;width:1080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49AB8CB" w14:textId="77777777" w:rsidR="00883D86" w:rsidRDefault="00883D86">
                        <w:pPr>
                          <w:textDirection w:val="btLr"/>
                        </w:pPr>
                      </w:p>
                    </w:txbxContent>
                  </v:textbox>
                </v:rect>
                <v:rect id="Rettangolo 5" o:spid="_x0000_s1029" style="position:absolute;left:540;top:1876;width:10800;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94E687D" w14:textId="77777777" w:rsidR="00883D86" w:rsidRDefault="00883D86">
                        <w:pPr>
                          <w:textDirection w:val="btLr"/>
                        </w:pPr>
                      </w:p>
                    </w:txbxContent>
                  </v:textbox>
                </v:rect>
                <v:shapetype id="_x0000_t32" coordsize="21600,21600" o:spt="32" o:oned="t" path="m,l21600,21600e" filled="f">
                  <v:path arrowok="t" fillok="f" o:connecttype="none"/>
                  <o:lock v:ext="edit" shapetype="t"/>
                </v:shapetype>
                <v:shape id="Connettore 2 6" o:spid="_x0000_s1030" type="#_x0000_t32" style="position:absolute;left:540;top:1988;width:1025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">
                  <v:stroke joinstyle="miter"/>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FAA"/>
    <w:multiLevelType w:val="multilevel"/>
    <w:tmpl w:val="9B581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61636"/>
    <w:multiLevelType w:val="multilevel"/>
    <w:tmpl w:val="A23C6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32DDB"/>
    <w:multiLevelType w:val="multilevel"/>
    <w:tmpl w:val="B01CA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77831"/>
    <w:multiLevelType w:val="hybridMultilevel"/>
    <w:tmpl w:val="BDE0B6EE"/>
    <w:lvl w:ilvl="0" w:tplc="BBC05C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AD7885"/>
    <w:multiLevelType w:val="hybridMultilevel"/>
    <w:tmpl w:val="07B64528"/>
    <w:lvl w:ilvl="0" w:tplc="11A67C0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2329CE"/>
    <w:multiLevelType w:val="hybridMultilevel"/>
    <w:tmpl w:val="3FA4D2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B2759C"/>
    <w:multiLevelType w:val="multilevel"/>
    <w:tmpl w:val="6428E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D096909"/>
    <w:multiLevelType w:val="multilevel"/>
    <w:tmpl w:val="82A0D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855373"/>
    <w:multiLevelType w:val="multilevel"/>
    <w:tmpl w:val="34F4C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25645E"/>
    <w:multiLevelType w:val="multilevel"/>
    <w:tmpl w:val="7A208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6"/>
  </w:num>
  <w:num w:numId="4">
    <w:abstractNumId w:val="9"/>
  </w:num>
  <w:num w:numId="5">
    <w:abstractNumId w:val="2"/>
  </w:num>
  <w:num w:numId="6">
    <w:abstractNumId w:val="0"/>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86"/>
    <w:rsid w:val="00001BEB"/>
    <w:rsid w:val="000E32E5"/>
    <w:rsid w:val="00130B76"/>
    <w:rsid w:val="00154BDB"/>
    <w:rsid w:val="00257F8C"/>
    <w:rsid w:val="002E699D"/>
    <w:rsid w:val="005476B3"/>
    <w:rsid w:val="005F4500"/>
    <w:rsid w:val="00640BEF"/>
    <w:rsid w:val="00883D86"/>
    <w:rsid w:val="009446D7"/>
    <w:rsid w:val="00967CCC"/>
    <w:rsid w:val="009B1412"/>
    <w:rsid w:val="00AB1B34"/>
    <w:rsid w:val="00BD3FD5"/>
    <w:rsid w:val="00CC527B"/>
    <w:rsid w:val="00E728BF"/>
    <w:rsid w:val="00E90828"/>
    <w:rsid w:val="00EC1BCD"/>
    <w:rsid w:val="00F51339"/>
    <w:rsid w:val="00F87903"/>
    <w:rsid w:val="00FC63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38648"/>
  <w15:docId w15:val="{BC0DDE49-98D3-43FD-9582-79496B3B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9B1412"/>
    <w:pPr>
      <w:tabs>
        <w:tab w:val="center" w:pos="4819"/>
        <w:tab w:val="right" w:pos="9638"/>
      </w:tabs>
    </w:pPr>
  </w:style>
  <w:style w:type="character" w:customStyle="1" w:styleId="IntestazioneCarattere">
    <w:name w:val="Intestazione Carattere"/>
    <w:basedOn w:val="Carpredefinitoparagrafo"/>
    <w:link w:val="Intestazione"/>
    <w:uiPriority w:val="99"/>
    <w:rsid w:val="009B1412"/>
  </w:style>
  <w:style w:type="paragraph" w:styleId="Pidipagina">
    <w:name w:val="footer"/>
    <w:basedOn w:val="Normale"/>
    <w:link w:val="PidipaginaCarattere"/>
    <w:uiPriority w:val="99"/>
    <w:unhideWhenUsed/>
    <w:rsid w:val="009B1412"/>
    <w:pPr>
      <w:tabs>
        <w:tab w:val="center" w:pos="4819"/>
        <w:tab w:val="right" w:pos="9638"/>
      </w:tabs>
    </w:pPr>
  </w:style>
  <w:style w:type="character" w:customStyle="1" w:styleId="PidipaginaCarattere">
    <w:name w:val="Piè di pagina Carattere"/>
    <w:basedOn w:val="Carpredefinitoparagrafo"/>
    <w:link w:val="Pidipagina"/>
    <w:uiPriority w:val="99"/>
    <w:rsid w:val="009B1412"/>
  </w:style>
  <w:style w:type="character" w:styleId="Collegamentoipertestuale">
    <w:name w:val="Hyperlink"/>
    <w:basedOn w:val="Carpredefinitoparagrafo"/>
    <w:uiPriority w:val="99"/>
    <w:unhideWhenUsed/>
    <w:rsid w:val="009B1412"/>
    <w:rPr>
      <w:color w:val="0000FF" w:themeColor="hyperlink"/>
      <w:u w:val="single"/>
    </w:rPr>
  </w:style>
  <w:style w:type="character" w:styleId="Menzionenonrisolta">
    <w:name w:val="Unresolved Mention"/>
    <w:basedOn w:val="Carpredefinitoparagrafo"/>
    <w:uiPriority w:val="99"/>
    <w:semiHidden/>
    <w:unhideWhenUsed/>
    <w:rsid w:val="009B1412"/>
    <w:rPr>
      <w:color w:val="605E5C"/>
      <w:shd w:val="clear" w:color="auto" w:fill="E1DFDD"/>
    </w:rPr>
  </w:style>
  <w:style w:type="paragraph" w:styleId="Paragrafoelenco">
    <w:name w:val="List Paragraph"/>
    <w:basedOn w:val="Normale"/>
    <w:uiPriority w:val="34"/>
    <w:qFormat/>
    <w:rsid w:val="005F4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gi.it/wp-content/uploads/2020/11/La-Denuncia.pdf" TargetMode="External"/><Relationship Id="rId3" Type="http://schemas.openxmlformats.org/officeDocument/2006/relationships/settings" Target="settings.xml"/><Relationship Id="rId7" Type="http://schemas.openxmlformats.org/officeDocument/2006/relationships/hyperlink" Target="https://www.asgi.it/wp-content/uploads/2020/04/Nota_2020_380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estiamoumani.yabasta@gmail.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1760</Words>
  <Characters>10035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Alessio Malinconico</dc:creator>
  <cp:lastModifiedBy>Alessio Malinconico</cp:lastModifiedBy>
  <cp:revision>2</cp:revision>
  <cp:lastPrinted>2021-12-19T16:14:00Z</cp:lastPrinted>
  <dcterms:created xsi:type="dcterms:W3CDTF">2022-01-03T19:04:00Z</dcterms:created>
  <dcterms:modified xsi:type="dcterms:W3CDTF">2022-01-03T19:04:00Z</dcterms:modified>
</cp:coreProperties>
</file>